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7" w:rsidRPr="00CC36CB" w:rsidRDefault="00350A47" w:rsidP="00350A4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CC36CB">
        <w:rPr>
          <w:noProof/>
        </w:rPr>
        <w:drawing>
          <wp:inline distT="0" distB="0" distL="0" distR="0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7" w:rsidRPr="00CC36CB" w:rsidRDefault="00350A47" w:rsidP="00350A4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C36CB">
        <w:rPr>
          <w:caps w:val="0"/>
          <w:szCs w:val="28"/>
        </w:rPr>
        <w:t>Российская Федерация</w:t>
      </w:r>
    </w:p>
    <w:p w:rsidR="00350A47" w:rsidRPr="00CC36CB" w:rsidRDefault="00350A47" w:rsidP="00350A47">
      <w:pPr>
        <w:pStyle w:val="a7"/>
        <w:spacing w:line="240" w:lineRule="exact"/>
        <w:rPr>
          <w:caps w:val="0"/>
          <w:szCs w:val="28"/>
        </w:rPr>
      </w:pPr>
      <w:r w:rsidRPr="00CC36CB">
        <w:rPr>
          <w:caps w:val="0"/>
          <w:szCs w:val="28"/>
        </w:rPr>
        <w:t>Новгородская область</w:t>
      </w:r>
    </w:p>
    <w:p w:rsidR="00350A47" w:rsidRPr="00CC36CB" w:rsidRDefault="00350A47" w:rsidP="00350A47">
      <w:pPr>
        <w:pStyle w:val="a7"/>
        <w:spacing w:before="120" w:after="120"/>
        <w:rPr>
          <w:szCs w:val="28"/>
        </w:rPr>
      </w:pPr>
      <w:r w:rsidRPr="00CC36CB">
        <w:rPr>
          <w:szCs w:val="28"/>
        </w:rPr>
        <w:t>Администрация СОЛЕЦКОГО муниципального округа</w:t>
      </w:r>
    </w:p>
    <w:p w:rsidR="00350A47" w:rsidRPr="00CC36CB" w:rsidRDefault="00350A47" w:rsidP="00350A4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C36CB">
        <w:rPr>
          <w:sz w:val="32"/>
        </w:rPr>
        <w:t>ПОСТАНОВЛЕНИЕ</w:t>
      </w:r>
    </w:p>
    <w:p w:rsidR="00350A47" w:rsidRPr="00CC36CB" w:rsidRDefault="00350A47" w:rsidP="00350A47">
      <w:pPr>
        <w:tabs>
          <w:tab w:val="left" w:pos="4536"/>
        </w:tabs>
        <w:jc w:val="center"/>
        <w:rPr>
          <w:sz w:val="28"/>
        </w:rPr>
      </w:pP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C36CB">
        <w:rPr>
          <w:sz w:val="28"/>
        </w:rPr>
        <w:t xml:space="preserve">от </w:t>
      </w:r>
      <w:r w:rsidR="008F4CA9" w:rsidRPr="00CC36CB">
        <w:rPr>
          <w:sz w:val="28"/>
        </w:rPr>
        <w:t>16</w:t>
      </w:r>
      <w:r w:rsidRPr="00CC36CB">
        <w:rPr>
          <w:sz w:val="28"/>
        </w:rPr>
        <w:t>.03.2021 №</w:t>
      </w:r>
      <w:r w:rsidR="000F5F4E" w:rsidRPr="00CC36CB">
        <w:rPr>
          <w:sz w:val="28"/>
        </w:rPr>
        <w:t xml:space="preserve"> 3</w:t>
      </w:r>
      <w:r w:rsidR="00AA7B51" w:rsidRPr="00CC36CB">
        <w:rPr>
          <w:sz w:val="28"/>
        </w:rPr>
        <w:t>8</w:t>
      </w:r>
      <w:r w:rsidR="00A67147" w:rsidRPr="00CC36CB">
        <w:rPr>
          <w:sz w:val="28"/>
        </w:rPr>
        <w:t>5</w:t>
      </w:r>
    </w:p>
    <w:p w:rsidR="00F806C9" w:rsidRPr="00CC36CB" w:rsidRDefault="0081674D" w:rsidP="00F806C9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(в редакции постановлений</w:t>
      </w:r>
      <w:r w:rsidR="00F806C9">
        <w:rPr>
          <w:sz w:val="28"/>
        </w:rPr>
        <w:t xml:space="preserve"> Администрации муниципального округа от </w:t>
      </w:r>
      <w:r>
        <w:rPr>
          <w:sz w:val="28"/>
        </w:rPr>
        <w:t>08</w:t>
      </w:r>
      <w:r w:rsidR="00F806C9">
        <w:rPr>
          <w:sz w:val="28"/>
        </w:rPr>
        <w:t>.0</w:t>
      </w:r>
      <w:r>
        <w:rPr>
          <w:sz w:val="28"/>
        </w:rPr>
        <w:t>6.2021 № 820, от 16.06.2021 № 885</w:t>
      </w:r>
      <w:r w:rsidR="00F806C9">
        <w:rPr>
          <w:sz w:val="28"/>
        </w:rPr>
        <w:t>)</w:t>
      </w:r>
    </w:p>
    <w:p w:rsidR="00350A47" w:rsidRPr="00CC36CB" w:rsidRDefault="00350A47" w:rsidP="00350A47">
      <w:pPr>
        <w:tabs>
          <w:tab w:val="left" w:pos="4536"/>
        </w:tabs>
        <w:jc w:val="center"/>
        <w:rPr>
          <w:sz w:val="28"/>
        </w:rPr>
      </w:pPr>
      <w:r w:rsidRPr="00CC36CB">
        <w:rPr>
          <w:sz w:val="28"/>
        </w:rPr>
        <w:t>г. Сольцы</w:t>
      </w:r>
    </w:p>
    <w:p w:rsidR="001C0C22" w:rsidRPr="00CC36CB" w:rsidRDefault="001C0C22" w:rsidP="00A55E53">
      <w:pPr>
        <w:tabs>
          <w:tab w:val="left" w:pos="6800"/>
        </w:tabs>
        <w:rPr>
          <w:sz w:val="28"/>
        </w:rPr>
      </w:pPr>
    </w:p>
    <w:p w:rsidR="00CC36CB" w:rsidRPr="00CC36CB" w:rsidRDefault="00CC36CB" w:rsidP="00CC36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Об утверждении муниципальной программы Солецкого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 xml:space="preserve"> муниципального округа «Охрана окружающей среды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CC36CB">
        <w:rPr>
          <w:b/>
          <w:sz w:val="28"/>
          <w:szCs w:val="28"/>
        </w:rPr>
        <w:t xml:space="preserve">Солецкого муниципального округа» </w:t>
      </w:r>
    </w:p>
    <w:p w:rsidR="00CC36CB" w:rsidRPr="00CC36CB" w:rsidRDefault="00CC36CB" w:rsidP="00CC36CB">
      <w:pPr>
        <w:autoSpaceDE w:val="0"/>
        <w:autoSpaceDN w:val="0"/>
        <w:adjustRightInd w:val="0"/>
        <w:ind w:firstLine="540"/>
        <w:jc w:val="both"/>
      </w:pPr>
    </w:p>
    <w:p w:rsidR="00CC36CB" w:rsidRPr="00CC36CB" w:rsidRDefault="00CC36CB" w:rsidP="00CC36CB">
      <w:pPr>
        <w:tabs>
          <w:tab w:val="left" w:pos="0"/>
        </w:tabs>
        <w:jc w:val="both"/>
        <w:rPr>
          <w:b/>
          <w:sz w:val="28"/>
          <w:szCs w:val="28"/>
        </w:rPr>
      </w:pPr>
      <w:r w:rsidRPr="00CC36CB">
        <w:rPr>
          <w:sz w:val="28"/>
          <w:szCs w:val="28"/>
        </w:rPr>
        <w:tab/>
      </w:r>
      <w:proofErr w:type="gramStart"/>
      <w:r w:rsidRPr="00CC36CB">
        <w:rPr>
          <w:sz w:val="28"/>
          <w:szCs w:val="28"/>
        </w:rPr>
        <w:t>В целях реализации Федерального закона от 10 января 2002 года № 7-ФЗ «Об  охране окружающей среды», Федерального закона от 6 октября 2003 года № 131-ФЗ «Об общих принципах организации местного самоуправления в Российской Федерации», областного закона  от 01.12.2015 № 880-ОЗ 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</w:t>
      </w:r>
      <w:proofErr w:type="gramEnd"/>
      <w:r w:rsidRPr="00CC36CB">
        <w:rPr>
          <w:sz w:val="28"/>
          <w:szCs w:val="28"/>
        </w:rPr>
        <w:t xml:space="preserve"> </w:t>
      </w:r>
      <w:proofErr w:type="gramStart"/>
      <w:r w:rsidRPr="00CC36CB">
        <w:rPr>
          <w:sz w:val="28"/>
          <w:szCs w:val="28"/>
        </w:rPr>
        <w:t>в области обращения с отходами производства и потребления», в соответствии с постановлением Администрации муниципального района от 31.08.2020 № 1015 «Об утверждения Перечня  муниципальных программ Солецкого муниципального округа Новгородской области», постановлением Администрации Солецкого муниципального округа от 29.01.2021 № 142 «Об утверждении Порядка принятия решений о разработке муниципальных программ Солецкого муниципального округа, их формирования и реализации» Администрация Солецкого муниципального округа</w:t>
      </w:r>
      <w:r w:rsidRPr="00CC36CB">
        <w:rPr>
          <w:b/>
          <w:sz w:val="28"/>
          <w:szCs w:val="28"/>
        </w:rPr>
        <w:t xml:space="preserve"> ПОСТАНОВЛЯЕТ:</w:t>
      </w:r>
      <w:proofErr w:type="gramEnd"/>
    </w:p>
    <w:p w:rsidR="00CC36CB" w:rsidRPr="00CC36CB" w:rsidRDefault="00CC36CB" w:rsidP="00CC36CB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1.</w:t>
      </w:r>
      <w:r w:rsidRPr="00CC36CB">
        <w:rPr>
          <w:sz w:val="28"/>
          <w:szCs w:val="28"/>
        </w:rPr>
        <w:tab/>
        <w:t>Утвердить прилагаемую муниципальную программу Солецкого муниципального округа «Охрана окружающей среды Солецкого муниципального округа».</w:t>
      </w:r>
    </w:p>
    <w:p w:rsidR="00CC36CB" w:rsidRPr="00CC36CB" w:rsidRDefault="00CC36CB" w:rsidP="00CC36CB">
      <w:pPr>
        <w:spacing w:line="360" w:lineRule="atLeast"/>
        <w:ind w:firstLine="709"/>
        <w:jc w:val="both"/>
        <w:rPr>
          <w:sz w:val="28"/>
        </w:rPr>
      </w:pPr>
      <w:r w:rsidRPr="00CC36CB">
        <w:rPr>
          <w:sz w:val="28"/>
          <w:szCs w:val="28"/>
        </w:rPr>
        <w:t xml:space="preserve">2. Признать утратившим силу постановление Администрации муниципального района </w:t>
      </w:r>
      <w:r w:rsidRPr="00CC36CB">
        <w:rPr>
          <w:sz w:val="28"/>
        </w:rPr>
        <w:t xml:space="preserve"> от  27.12.2018  №  2369 «Об утверждении муниципальной программы Солецкого муниципального района  «Охрана окружающей среды Солецкого муниципального района»;</w:t>
      </w:r>
    </w:p>
    <w:p w:rsidR="00CC36CB" w:rsidRPr="00CC36CB" w:rsidRDefault="00CC36CB" w:rsidP="00CC36C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 xml:space="preserve">3. Опубликовать настоящее  постановление в периодическом печатном </w:t>
      </w:r>
      <w:proofErr w:type="gramStart"/>
      <w:r w:rsidRPr="00CC36CB">
        <w:rPr>
          <w:sz w:val="28"/>
          <w:szCs w:val="28"/>
        </w:rPr>
        <w:t>издании-бюллетень</w:t>
      </w:r>
      <w:proofErr w:type="gramEnd"/>
      <w:r w:rsidRPr="00CC36CB">
        <w:rPr>
          <w:sz w:val="28"/>
          <w:szCs w:val="28"/>
        </w:rPr>
        <w:t xml:space="preserve">  «Солецкий вестник» и разместить его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A67147" w:rsidRPr="00CC36CB" w:rsidRDefault="00A67147" w:rsidP="00AA7B51">
      <w:pPr>
        <w:tabs>
          <w:tab w:val="left" w:pos="6800"/>
        </w:tabs>
        <w:rPr>
          <w:b/>
          <w:sz w:val="28"/>
          <w:szCs w:val="28"/>
        </w:rPr>
      </w:pPr>
    </w:p>
    <w:p w:rsidR="00BE3985" w:rsidRPr="00CC36CB" w:rsidRDefault="00350A47" w:rsidP="00BE3985">
      <w:pPr>
        <w:tabs>
          <w:tab w:val="left" w:pos="6800"/>
        </w:tabs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 xml:space="preserve">Первый заместитель </w:t>
      </w:r>
      <w:r w:rsidRPr="00CC36CB">
        <w:rPr>
          <w:b/>
          <w:sz w:val="28"/>
          <w:szCs w:val="28"/>
        </w:rPr>
        <w:br/>
        <w:t>Главы администрации</w:t>
      </w:r>
      <w:r w:rsidR="00F408CE" w:rsidRPr="00CC36CB">
        <w:rPr>
          <w:b/>
          <w:sz w:val="28"/>
          <w:szCs w:val="28"/>
        </w:rPr>
        <w:t xml:space="preserve"> </w:t>
      </w:r>
      <w:r w:rsidR="00A67147" w:rsidRPr="00CC36CB">
        <w:rPr>
          <w:b/>
          <w:sz w:val="28"/>
          <w:szCs w:val="28"/>
        </w:rPr>
        <w:t xml:space="preserve">  </w:t>
      </w:r>
      <w:bookmarkStart w:id="0" w:name="_GoBack"/>
      <w:bookmarkEnd w:id="0"/>
      <w:r w:rsidR="007D450D" w:rsidRPr="00CC36CB">
        <w:rPr>
          <w:b/>
          <w:sz w:val="28"/>
          <w:szCs w:val="28"/>
        </w:rPr>
        <w:t xml:space="preserve"> </w:t>
      </w:r>
      <w:r w:rsidRPr="00CC36CB">
        <w:rPr>
          <w:b/>
          <w:sz w:val="28"/>
          <w:szCs w:val="28"/>
        </w:rPr>
        <w:t xml:space="preserve">Ю.Н. Дуничев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CC36CB">
        <w:rPr>
          <w:sz w:val="24"/>
          <w:szCs w:val="24"/>
        </w:rPr>
        <w:t>Утверждена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CC36CB">
        <w:rPr>
          <w:sz w:val="24"/>
          <w:szCs w:val="24"/>
        </w:rPr>
        <w:lastRenderedPageBreak/>
        <w:t xml:space="preserve"> постановлением Администрации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CC36CB">
        <w:rPr>
          <w:sz w:val="24"/>
          <w:szCs w:val="24"/>
        </w:rPr>
        <w:t>муниципального округа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CC36CB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16.03.2021 </w:t>
      </w:r>
      <w:r w:rsidRPr="00CC36CB">
        <w:rPr>
          <w:sz w:val="24"/>
          <w:szCs w:val="24"/>
        </w:rPr>
        <w:t xml:space="preserve">№ </w:t>
      </w:r>
      <w:r>
        <w:rPr>
          <w:sz w:val="24"/>
          <w:szCs w:val="24"/>
        </w:rPr>
        <w:t>385</w:t>
      </w:r>
      <w:r w:rsidRPr="00CC36CB">
        <w:rPr>
          <w:sz w:val="24"/>
          <w:szCs w:val="24"/>
        </w:rPr>
        <w:t xml:space="preserve">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CC36CB">
        <w:rPr>
          <w:sz w:val="28"/>
          <w:szCs w:val="28"/>
        </w:rPr>
        <w:t xml:space="preserve">                 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C36CB" w:rsidRPr="00CC36CB" w:rsidRDefault="00CC36CB" w:rsidP="00CC36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ПАСПОРТ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муниципальной программы Солецкого муниципального округа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«Охрана окружающей среды Солецкого муниципального округа»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(дале</w:t>
      </w:r>
      <w:proofErr w:type="gramStart"/>
      <w:r w:rsidRPr="00CC36CB">
        <w:rPr>
          <w:b/>
          <w:sz w:val="28"/>
          <w:szCs w:val="28"/>
        </w:rPr>
        <w:t>е-</w:t>
      </w:r>
      <w:proofErr w:type="gramEnd"/>
      <w:r w:rsidRPr="00CC36CB">
        <w:rPr>
          <w:b/>
          <w:sz w:val="28"/>
          <w:szCs w:val="28"/>
        </w:rPr>
        <w:t xml:space="preserve"> муниципальная программа)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1.Ответственный исполнитель муниципальной программы: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Комитет жилищно-коммунального хозяйства, дорожного строительства и транспорта Администрации муниципального округа (далее – Комитет).</w:t>
      </w:r>
    </w:p>
    <w:p w:rsidR="00CC36CB" w:rsidRPr="00CC36CB" w:rsidRDefault="00CC36CB" w:rsidP="00CC36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 xml:space="preserve">2. Соисполнители муниципальной программы: </w:t>
      </w:r>
    </w:p>
    <w:p w:rsidR="00CC36CB" w:rsidRPr="00CC36CB" w:rsidRDefault="00CC36CB" w:rsidP="00CC36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C36CB">
        <w:rPr>
          <w:sz w:val="28"/>
          <w:szCs w:val="28"/>
        </w:rPr>
        <w:t>Территориальные отделы Администрации муниципального округа (далее - территориальные отделы);</w:t>
      </w:r>
    </w:p>
    <w:p w:rsidR="00CC36CB" w:rsidRPr="00CC36CB" w:rsidRDefault="00CC36CB" w:rsidP="00CC36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C36CB">
        <w:rPr>
          <w:sz w:val="28"/>
          <w:szCs w:val="28"/>
        </w:rPr>
        <w:t>комитет  образования и спорта Администрации муниципального округа (далее – комитет образования);</w:t>
      </w:r>
    </w:p>
    <w:p w:rsidR="00CC36CB" w:rsidRPr="00CC36CB" w:rsidRDefault="00CC36CB" w:rsidP="00CC36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CC36CB">
        <w:rPr>
          <w:sz w:val="28"/>
          <w:szCs w:val="28"/>
        </w:rPr>
        <w:t>комитет культуры и молодёжной политики Администрации муниципального округа (далее – комитет культуры);</w:t>
      </w:r>
    </w:p>
    <w:p w:rsidR="00CC36CB" w:rsidRPr="00CC36CB" w:rsidRDefault="00CC36CB" w:rsidP="00CC36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C36CB">
        <w:rPr>
          <w:sz w:val="28"/>
          <w:szCs w:val="28"/>
        </w:rPr>
        <w:t>организации, отобранные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организации) (по согласованию).</w:t>
      </w:r>
    </w:p>
    <w:p w:rsidR="00CC36CB" w:rsidRPr="00CC36CB" w:rsidRDefault="00CC36CB" w:rsidP="00CC36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3. Подпрограммы муниципальной подпрограммы.</w:t>
      </w:r>
    </w:p>
    <w:p w:rsidR="00CC36CB" w:rsidRPr="00CC36CB" w:rsidRDefault="00CC36CB" w:rsidP="00CC36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CC36CB">
        <w:rPr>
          <w:sz w:val="28"/>
          <w:szCs w:val="28"/>
        </w:rPr>
        <w:t xml:space="preserve">  Подпрограммы отсутствуют.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4.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2379"/>
        <w:gridCol w:w="63"/>
        <w:gridCol w:w="393"/>
        <w:gridCol w:w="111"/>
        <w:gridCol w:w="38"/>
        <w:gridCol w:w="932"/>
        <w:gridCol w:w="782"/>
        <w:gridCol w:w="786"/>
        <w:gridCol w:w="776"/>
        <w:gridCol w:w="318"/>
        <w:gridCol w:w="318"/>
        <w:gridCol w:w="1404"/>
      </w:tblGrid>
      <w:tr w:rsidR="00CC36CB" w:rsidRPr="00CC36CB" w:rsidTr="002837E1">
        <w:tc>
          <w:tcPr>
            <w:tcW w:w="848" w:type="dxa"/>
            <w:vMerge w:val="restart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36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36CB">
              <w:rPr>
                <w:sz w:val="28"/>
                <w:szCs w:val="28"/>
              </w:rPr>
              <w:t>/</w:t>
            </w:r>
            <w:proofErr w:type="spellStart"/>
            <w:r w:rsidRPr="00CC36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2" w:type="dxa"/>
            <w:gridSpan w:val="2"/>
            <w:vMerge w:val="restart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858" w:type="dxa"/>
            <w:gridSpan w:val="10"/>
          </w:tcPr>
          <w:p w:rsidR="00CC36CB" w:rsidRPr="00CC36CB" w:rsidRDefault="00CC36CB" w:rsidP="00B913F4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Значение целевого показателя по годам:</w:t>
            </w:r>
          </w:p>
        </w:tc>
      </w:tr>
      <w:tr w:rsidR="002837E1" w:rsidRPr="00CC36CB" w:rsidTr="002837E1">
        <w:tc>
          <w:tcPr>
            <w:tcW w:w="848" w:type="dxa"/>
            <w:vMerge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vMerge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36CB" w:rsidRPr="00CC36CB" w:rsidRDefault="00CC36CB" w:rsidP="00B913F4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</w:t>
            </w:r>
          </w:p>
        </w:tc>
        <w:tc>
          <w:tcPr>
            <w:tcW w:w="932" w:type="dxa"/>
          </w:tcPr>
          <w:p w:rsidR="00CC36CB" w:rsidRPr="00CC36CB" w:rsidRDefault="00CC36CB" w:rsidP="00B913F4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2022</w:t>
            </w:r>
          </w:p>
        </w:tc>
        <w:tc>
          <w:tcPr>
            <w:tcW w:w="782" w:type="dxa"/>
          </w:tcPr>
          <w:p w:rsidR="00CC36CB" w:rsidRPr="00CC36CB" w:rsidRDefault="00CC36CB" w:rsidP="00B913F4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2023</w:t>
            </w:r>
          </w:p>
        </w:tc>
        <w:tc>
          <w:tcPr>
            <w:tcW w:w="786" w:type="dxa"/>
          </w:tcPr>
          <w:p w:rsidR="00CC36CB" w:rsidRPr="00CC36CB" w:rsidRDefault="00CC36CB" w:rsidP="00B913F4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2024</w:t>
            </w:r>
          </w:p>
        </w:tc>
        <w:tc>
          <w:tcPr>
            <w:tcW w:w="1412" w:type="dxa"/>
            <w:gridSpan w:val="3"/>
          </w:tcPr>
          <w:p w:rsidR="00CC36CB" w:rsidRPr="00CC36CB" w:rsidRDefault="00CC36CB" w:rsidP="00B913F4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2025</w:t>
            </w:r>
          </w:p>
        </w:tc>
        <w:tc>
          <w:tcPr>
            <w:tcW w:w="1404" w:type="dxa"/>
          </w:tcPr>
          <w:p w:rsidR="00CC36CB" w:rsidRPr="00CC36CB" w:rsidRDefault="00CC36CB" w:rsidP="00B913F4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2026</w:t>
            </w:r>
          </w:p>
        </w:tc>
      </w:tr>
      <w:tr w:rsidR="002837E1" w:rsidRPr="00CC36CB" w:rsidTr="002837E1">
        <w:trPr>
          <w:trHeight w:val="213"/>
        </w:trPr>
        <w:tc>
          <w:tcPr>
            <w:tcW w:w="848" w:type="dxa"/>
          </w:tcPr>
          <w:p w:rsidR="00CC36CB" w:rsidRPr="00CC36CB" w:rsidRDefault="00CC36CB" w:rsidP="00B913F4">
            <w:pPr>
              <w:widowControl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CC3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CC36CB" w:rsidRPr="00CC36CB" w:rsidRDefault="00CC36CB" w:rsidP="00B913F4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36CB">
              <w:rPr>
                <w:rFonts w:ascii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CC36CB" w:rsidRPr="00CC36CB" w:rsidRDefault="00CC36CB" w:rsidP="00B913F4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36CB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:rsidR="00CC36CB" w:rsidRPr="00CC36CB" w:rsidRDefault="00CC36CB" w:rsidP="00B913F4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36CB">
              <w:rPr>
                <w:rFonts w:ascii="Times New Roman" w:hAnsi="Times New Roman" w:cs="Calibri"/>
                <w:b/>
                <w:sz w:val="24"/>
                <w:szCs w:val="24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CC36CB" w:rsidRPr="00CC36CB" w:rsidRDefault="00CC36CB" w:rsidP="00B913F4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36CB">
              <w:rPr>
                <w:rFonts w:ascii="Times New Roman" w:hAnsi="Times New Roman" w:cs="Calibri"/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CC36CB" w:rsidRPr="00CC36CB" w:rsidRDefault="00CC36CB" w:rsidP="00B913F4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36CB">
              <w:rPr>
                <w:rFonts w:ascii="Times New Roman" w:hAnsi="Times New Roman" w:cs="Calibri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  <w:gridSpan w:val="3"/>
          </w:tcPr>
          <w:p w:rsidR="00CC36CB" w:rsidRPr="00CC36CB" w:rsidRDefault="00CC36CB" w:rsidP="00B913F4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36CB">
              <w:rPr>
                <w:rFonts w:ascii="Times New Roman" w:hAnsi="Times New Roman" w:cs="Calibri"/>
                <w:b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CC36CB" w:rsidRPr="00CC36CB" w:rsidRDefault="00CC36CB" w:rsidP="00B913F4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36CB">
              <w:rPr>
                <w:rFonts w:ascii="Times New Roman" w:hAnsi="Times New Roman" w:cs="Calibri"/>
                <w:b/>
                <w:sz w:val="24"/>
                <w:szCs w:val="24"/>
              </w:rPr>
              <w:t>8</w:t>
            </w:r>
          </w:p>
        </w:tc>
      </w:tr>
      <w:tr w:rsidR="00CC36CB" w:rsidRPr="00CC36CB" w:rsidTr="002837E1">
        <w:tc>
          <w:tcPr>
            <w:tcW w:w="848" w:type="dxa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00" w:type="dxa"/>
            <w:gridSpan w:val="12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/>
                <w:sz w:val="28"/>
                <w:szCs w:val="28"/>
              </w:rPr>
              <w:t>Цель 1.     Создание условий для стабилизации  и улучшения качества окружающей среды, экологической безопасности, снижение воздействия вредных экологических факторов техногенного и антропогенного характера на окружающую среду</w:t>
            </w:r>
          </w:p>
        </w:tc>
      </w:tr>
      <w:tr w:rsidR="00CC36CB" w:rsidRPr="00CC36CB" w:rsidTr="002837E1">
        <w:tc>
          <w:tcPr>
            <w:tcW w:w="848" w:type="dxa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1.1.</w:t>
            </w:r>
          </w:p>
        </w:tc>
        <w:tc>
          <w:tcPr>
            <w:tcW w:w="8300" w:type="dxa"/>
            <w:gridSpan w:val="12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 xml:space="preserve">Задача 1. Предупреждение причинения вреда окружающей среде и здоровья населения при размещении твердых коммунальных отходов </w:t>
            </w:r>
          </w:p>
        </w:tc>
      </w:tr>
      <w:tr w:rsidR="002837E1" w:rsidRPr="00CC36CB" w:rsidTr="002837E1">
        <w:tc>
          <w:tcPr>
            <w:tcW w:w="848" w:type="dxa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1.1.1.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 xml:space="preserve">Показатель 1. Количество разработанной </w:t>
            </w:r>
            <w:r w:rsidRPr="00CC36CB">
              <w:rPr>
                <w:rFonts w:ascii="Times New Roman" w:hAnsi="Times New Roman" w:cs="Calibri"/>
                <w:sz w:val="28"/>
                <w:szCs w:val="28"/>
              </w:rPr>
              <w:lastRenderedPageBreak/>
              <w:t>проектно-сметной документации на рекультивацию земельного участка, загрязненного в результате расположения на нём объектов размещения отходов, (ед.)</w:t>
            </w:r>
          </w:p>
        </w:tc>
        <w:tc>
          <w:tcPr>
            <w:tcW w:w="542" w:type="dxa"/>
            <w:gridSpan w:val="3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" w:type="dxa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</w:tr>
      <w:tr w:rsidR="002837E1" w:rsidRPr="00CC36CB" w:rsidTr="002837E1">
        <w:tc>
          <w:tcPr>
            <w:tcW w:w="848" w:type="dxa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379" w:type="dxa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 xml:space="preserve">Показатель 2. Количество </w:t>
            </w:r>
            <w:proofErr w:type="spellStart"/>
            <w:r w:rsidRPr="00CC36CB">
              <w:rPr>
                <w:rFonts w:ascii="Times New Roman" w:hAnsi="Times New Roman" w:cs="Calibri"/>
                <w:sz w:val="28"/>
                <w:szCs w:val="28"/>
              </w:rPr>
              <w:t>рекультивированных</w:t>
            </w:r>
            <w:proofErr w:type="spellEnd"/>
            <w:r w:rsidRPr="00CC36CB">
              <w:rPr>
                <w:rFonts w:ascii="Times New Roman" w:hAnsi="Times New Roman" w:cs="Calibri"/>
                <w:sz w:val="28"/>
                <w:szCs w:val="28"/>
              </w:rPr>
              <w:t xml:space="preserve">  земельных участков, загрязненных в результате расположения на нём объекта размещения отходов (ед.)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</w:tr>
      <w:tr w:rsidR="002837E1" w:rsidRPr="00CC36CB" w:rsidTr="002837E1">
        <w:tc>
          <w:tcPr>
            <w:tcW w:w="848" w:type="dxa"/>
          </w:tcPr>
          <w:p w:rsidR="00F806C9" w:rsidRPr="00CC36CB" w:rsidRDefault="00F806C9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2379" w:type="dxa"/>
            <w:shd w:val="clear" w:color="auto" w:fill="auto"/>
          </w:tcPr>
          <w:p w:rsidR="00F806C9" w:rsidRPr="00CC36CB" w:rsidRDefault="002837E1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Показатель 3. Количество ликвидированных несанкционированных мест размещения отходов, шт.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806C9" w:rsidRPr="00CC36CB" w:rsidRDefault="002837E1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F806C9" w:rsidRPr="00CC36CB" w:rsidRDefault="002837E1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F806C9" w:rsidRPr="00CC36CB" w:rsidRDefault="002837E1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F806C9" w:rsidRPr="00CC36CB" w:rsidRDefault="002837E1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F806C9" w:rsidRPr="00CC36CB" w:rsidRDefault="002837E1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F806C9" w:rsidRPr="00CC36CB" w:rsidRDefault="002837E1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</w:tr>
      <w:tr w:rsidR="00CC36CB" w:rsidRPr="00CC36CB" w:rsidTr="002837E1">
        <w:tc>
          <w:tcPr>
            <w:tcW w:w="848" w:type="dxa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8300" w:type="dxa"/>
            <w:gridSpan w:val="12"/>
            <w:shd w:val="clear" w:color="auto" w:fill="auto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bCs/>
                <w:sz w:val="28"/>
                <w:szCs w:val="28"/>
              </w:rPr>
            </w:pPr>
            <w:r w:rsidRPr="00CC36CB">
              <w:rPr>
                <w:bCs/>
                <w:sz w:val="28"/>
                <w:szCs w:val="28"/>
              </w:rPr>
              <w:t>Задача  2. Организация доступа к информации в сфере обращения с отходами</w:t>
            </w:r>
          </w:p>
        </w:tc>
      </w:tr>
      <w:tr w:rsidR="002837E1" w:rsidRPr="00CC36CB" w:rsidTr="002837E1">
        <w:tc>
          <w:tcPr>
            <w:tcW w:w="848" w:type="dxa"/>
            <w:shd w:val="clear" w:color="auto" w:fill="auto"/>
          </w:tcPr>
          <w:p w:rsidR="00CC36CB" w:rsidRPr="00CC36CB" w:rsidRDefault="00CC36CB" w:rsidP="00B913F4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1.2.1.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Показатель 1. Количество публикаций по информационному просвещению населения о состоянии окружающей среды и об организации деятельности в области обращения с отходами на официальном сайте Администрации Солецкого </w:t>
            </w: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lastRenderedPageBreak/>
              <w:t>муниципального округа в информационно-телекоммуникационной сети «Интернет», (ед.)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82" w:type="dxa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gridSpan w:val="2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6</w:t>
            </w:r>
          </w:p>
        </w:tc>
      </w:tr>
      <w:tr w:rsidR="002837E1" w:rsidRPr="00CC36CB" w:rsidTr="002837E1">
        <w:trPr>
          <w:trHeight w:val="3021"/>
        </w:trPr>
        <w:tc>
          <w:tcPr>
            <w:tcW w:w="848" w:type="dxa"/>
            <w:shd w:val="clear" w:color="auto" w:fill="auto"/>
          </w:tcPr>
          <w:p w:rsidR="00CC36CB" w:rsidRPr="00CC36CB" w:rsidRDefault="00CC36CB" w:rsidP="00B913F4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Показатель 2. Количество проведенных в образовательных учреждениях, учреждениях культуры мероприятий по охране окружающей среды и экологической безопасности</w:t>
            </w:r>
            <w:proofErr w:type="gramStart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,(</w:t>
            </w:r>
            <w:proofErr w:type="gramEnd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ед.)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5</w:t>
            </w:r>
          </w:p>
        </w:tc>
        <w:tc>
          <w:tcPr>
            <w:tcW w:w="782" w:type="dxa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gridSpan w:val="2"/>
          </w:tcPr>
          <w:p w:rsidR="00CC36CB" w:rsidRPr="00CC36CB" w:rsidRDefault="00CC36CB" w:rsidP="00B913F4">
            <w:pPr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5</w:t>
            </w:r>
          </w:p>
        </w:tc>
      </w:tr>
      <w:tr w:rsidR="00CC36CB" w:rsidRPr="00CC36CB" w:rsidTr="002837E1">
        <w:tc>
          <w:tcPr>
            <w:tcW w:w="848" w:type="dxa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1.3.</w:t>
            </w:r>
          </w:p>
        </w:tc>
        <w:tc>
          <w:tcPr>
            <w:tcW w:w="8300" w:type="dxa"/>
            <w:gridSpan w:val="12"/>
            <w:shd w:val="clear" w:color="auto" w:fill="auto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bCs/>
                <w:sz w:val="28"/>
                <w:szCs w:val="28"/>
              </w:rPr>
            </w:pPr>
            <w:r w:rsidRPr="00CC36CB">
              <w:rPr>
                <w:bCs/>
                <w:sz w:val="28"/>
                <w:szCs w:val="28"/>
              </w:rPr>
              <w:t>Задача 3. Противодействие возникновению мест несанкционированного размещения отходов на территории муниципального округа</w:t>
            </w:r>
          </w:p>
        </w:tc>
      </w:tr>
      <w:tr w:rsidR="002837E1" w:rsidRPr="00CC36CB" w:rsidTr="002837E1">
        <w:tc>
          <w:tcPr>
            <w:tcW w:w="848" w:type="dxa"/>
            <w:shd w:val="clear" w:color="auto" w:fill="auto"/>
          </w:tcPr>
          <w:p w:rsidR="00CC36CB" w:rsidRPr="00CC36CB" w:rsidRDefault="00CC36CB" w:rsidP="00B913F4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1.3.1.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Показатель 1. Увеличение доли ликвидированных мест несанкционированного размещения отходов по отношению к </w:t>
            </w:r>
            <w:proofErr w:type="gramStart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выявленным</w:t>
            </w:r>
            <w:proofErr w:type="gramEnd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, (%)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35</w:t>
            </w:r>
          </w:p>
        </w:tc>
        <w:tc>
          <w:tcPr>
            <w:tcW w:w="782" w:type="dxa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45</w:t>
            </w:r>
          </w:p>
        </w:tc>
        <w:tc>
          <w:tcPr>
            <w:tcW w:w="786" w:type="dxa"/>
            <w:shd w:val="clear" w:color="auto" w:fill="auto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65</w:t>
            </w:r>
          </w:p>
        </w:tc>
        <w:tc>
          <w:tcPr>
            <w:tcW w:w="776" w:type="dxa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75</w:t>
            </w:r>
          </w:p>
        </w:tc>
        <w:tc>
          <w:tcPr>
            <w:tcW w:w="636" w:type="dxa"/>
            <w:gridSpan w:val="2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85</w:t>
            </w:r>
          </w:p>
        </w:tc>
        <w:tc>
          <w:tcPr>
            <w:tcW w:w="1404" w:type="dxa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100</w:t>
            </w:r>
          </w:p>
        </w:tc>
      </w:tr>
      <w:tr w:rsidR="002837E1" w:rsidRPr="00CC36CB" w:rsidTr="002837E1">
        <w:tc>
          <w:tcPr>
            <w:tcW w:w="848" w:type="dxa"/>
            <w:shd w:val="clear" w:color="auto" w:fill="auto"/>
          </w:tcPr>
          <w:p w:rsidR="00CC36CB" w:rsidRPr="00CC36CB" w:rsidRDefault="00CC36CB" w:rsidP="00B913F4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1.3.2.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Показатель 2. Количество направленных уведомлений региональному оператору по обращению с твердыми коммунальными отходами о несанкционированных местах размещения отходов</w:t>
            </w:r>
            <w:proofErr w:type="gramStart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81" w:type="dxa"/>
            <w:gridSpan w:val="3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100</w:t>
            </w:r>
          </w:p>
        </w:tc>
        <w:tc>
          <w:tcPr>
            <w:tcW w:w="636" w:type="dxa"/>
            <w:gridSpan w:val="2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100</w:t>
            </w:r>
          </w:p>
        </w:tc>
      </w:tr>
      <w:tr w:rsidR="002837E1" w:rsidRPr="00CC36CB" w:rsidTr="002837E1">
        <w:tc>
          <w:tcPr>
            <w:tcW w:w="848" w:type="dxa"/>
            <w:shd w:val="clear" w:color="auto" w:fill="auto"/>
          </w:tcPr>
          <w:p w:rsidR="00CC36CB" w:rsidRPr="00CC36CB" w:rsidRDefault="00CC36CB" w:rsidP="00B913F4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1.3.3.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Показатель 3. Количество публикаций по информированию </w:t>
            </w: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lastRenderedPageBreak/>
              <w:t>населения, об обязанности заключения договоров на оказание услуг по обращению с твердыми коммунальными отходами с региональным оператором по обращению с твердыми коммунальными отходами на официальном сайте Администрации Солецкого муниципального округа в информационно-телекоммуникационной сети «Интернет», (ед.)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82" w:type="dxa"/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gridSpan w:val="2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</w:t>
            </w:r>
          </w:p>
        </w:tc>
      </w:tr>
      <w:tr w:rsidR="00CC36CB" w:rsidRPr="00CC36CB" w:rsidTr="002837E1">
        <w:tc>
          <w:tcPr>
            <w:tcW w:w="848" w:type="dxa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8300" w:type="dxa"/>
            <w:gridSpan w:val="12"/>
            <w:shd w:val="clear" w:color="auto" w:fill="auto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bCs/>
                <w:sz w:val="28"/>
                <w:szCs w:val="28"/>
              </w:rPr>
            </w:pPr>
            <w:r w:rsidRPr="00CC36CB">
              <w:rPr>
                <w:bCs/>
                <w:sz w:val="28"/>
                <w:szCs w:val="28"/>
              </w:rPr>
              <w:t>Задача  4. Снижение негативного воздействия отходов производства и потребления на окружающую среду</w:t>
            </w:r>
          </w:p>
        </w:tc>
      </w:tr>
      <w:tr w:rsidR="002837E1" w:rsidRPr="00CC36CB" w:rsidTr="002837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1.4.1.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Показатель 1. Количество приобретенных контейнеров для раздельного сбора твердых коммунальных отходов, (ед.)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0</w:t>
            </w:r>
          </w:p>
        </w:tc>
      </w:tr>
      <w:tr w:rsidR="002837E1" w:rsidRPr="00CC36CB" w:rsidTr="002837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1.4.2.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81674D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Показатель 2. Количество </w:t>
            </w:r>
            <w:r w:rsidR="0081674D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обустроенных </w:t>
            </w: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контейнерных площадок, (ед.)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</w:tr>
      <w:tr w:rsidR="002837E1" w:rsidRPr="00CC36CB" w:rsidTr="002837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sz w:val="28"/>
                <w:szCs w:val="28"/>
              </w:rPr>
              <w:t>1.4.3.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Показатель 3. Количество приобретенных контейнеров для сбора твердых коммунальных отходов, (ед.)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CB" w:rsidRPr="00CC36CB" w:rsidRDefault="00CC36CB" w:rsidP="00B913F4">
            <w:pPr>
              <w:tabs>
                <w:tab w:val="left" w:pos="1238"/>
              </w:tabs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</w:tr>
    </w:tbl>
    <w:p w:rsidR="00CC36CB" w:rsidRPr="00CC36CB" w:rsidRDefault="00CC36CB" w:rsidP="00CC36C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 xml:space="preserve">5. Сроки реализации муниципальной программы: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lastRenderedPageBreak/>
        <w:t>2021-2026 годы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C36CB">
        <w:rPr>
          <w:b/>
          <w:sz w:val="28"/>
          <w:szCs w:val="28"/>
          <w:lang w:eastAsia="ar-SA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1988"/>
        <w:gridCol w:w="1690"/>
        <w:gridCol w:w="2021"/>
        <w:gridCol w:w="1842"/>
        <w:gridCol w:w="1572"/>
      </w:tblGrid>
      <w:tr w:rsidR="00CC36CB" w:rsidRPr="00CC36CB" w:rsidTr="00B913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 xml:space="preserve">   Год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C36CB" w:rsidRPr="00CC36CB" w:rsidTr="00B913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CC36CB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CC36CB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всего</w:t>
            </w:r>
          </w:p>
        </w:tc>
      </w:tr>
      <w:tr w:rsidR="00CC36CB" w:rsidRPr="00CC36CB" w:rsidTr="00B91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CB" w:rsidRPr="00CC36CB" w:rsidRDefault="00CC36CB" w:rsidP="00B913F4">
            <w:pPr>
              <w:pStyle w:val="p12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6</w:t>
            </w:r>
          </w:p>
        </w:tc>
      </w:tr>
      <w:tr w:rsidR="00CC36CB" w:rsidRPr="00CC36CB" w:rsidTr="00B91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1895,10000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2837E1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482,70000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2837E1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2377,80000</w:t>
            </w:r>
          </w:p>
        </w:tc>
      </w:tr>
      <w:tr w:rsidR="00CC36CB" w:rsidRPr="00CC36CB" w:rsidTr="00B91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0"/>
                <w:szCs w:val="20"/>
              </w:rPr>
            </w:pPr>
            <w:r w:rsidRPr="00CC36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182,70000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182,70000</w:t>
            </w:r>
          </w:p>
        </w:tc>
      </w:tr>
      <w:tr w:rsidR="00CC36CB" w:rsidRPr="00CC36CB" w:rsidTr="00B91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160,20000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160,20000</w:t>
            </w:r>
          </w:p>
        </w:tc>
      </w:tr>
      <w:tr w:rsidR="00CC36CB" w:rsidRPr="00CC36CB" w:rsidTr="00B91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137,70000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137,70000</w:t>
            </w:r>
          </w:p>
        </w:tc>
      </w:tr>
      <w:tr w:rsidR="00CC36CB" w:rsidRPr="00CC36CB" w:rsidTr="00B91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137,70000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137,70000</w:t>
            </w:r>
          </w:p>
        </w:tc>
      </w:tr>
      <w:tr w:rsidR="00CC36CB" w:rsidRPr="00CC36CB" w:rsidTr="00B91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137,70000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137,70000</w:t>
            </w:r>
          </w:p>
        </w:tc>
      </w:tr>
      <w:tr w:rsidR="00CC36CB" w:rsidRPr="00CC36CB" w:rsidTr="00B91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</w:pPr>
            <w:r w:rsidRPr="00CC36CB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rStyle w:val="s7"/>
                <w:b/>
              </w:rPr>
            </w:pPr>
            <w:r w:rsidRPr="00CC36CB">
              <w:rPr>
                <w:rStyle w:val="s7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CC36CB" w:rsidP="00B913F4">
            <w:pPr>
              <w:pStyle w:val="p15"/>
              <w:suppressAutoHyphens/>
              <w:jc w:val="center"/>
              <w:rPr>
                <w:sz w:val="20"/>
                <w:szCs w:val="20"/>
              </w:rPr>
            </w:pPr>
            <w:r w:rsidRPr="00CC36CB">
              <w:rPr>
                <w:sz w:val="28"/>
                <w:szCs w:val="28"/>
              </w:rPr>
              <w:t>1895,10000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CB" w:rsidRPr="00CC36CB" w:rsidRDefault="002837E1" w:rsidP="00B913F4">
            <w:pPr>
              <w:pStyle w:val="p15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1238,70000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CC36CB" w:rsidP="00B913F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6CB" w:rsidRPr="00CC36CB" w:rsidRDefault="002837E1" w:rsidP="00B913F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3133,80000</w:t>
            </w:r>
          </w:p>
        </w:tc>
      </w:tr>
    </w:tbl>
    <w:p w:rsidR="00CC36CB" w:rsidRDefault="00CC36CB" w:rsidP="00CC36C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CC36CB" w:rsidRPr="00CC36CB" w:rsidRDefault="00CC36CB" w:rsidP="00CC36C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CC36CB" w:rsidRPr="00CC36CB" w:rsidRDefault="00CC36CB" w:rsidP="00CC36CB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>7. Ожидаемые конечные результаты реализации муниципальной программы</w:t>
      </w:r>
      <w:r w:rsidRPr="00CC36CB">
        <w:rPr>
          <w:sz w:val="28"/>
          <w:szCs w:val="28"/>
        </w:rPr>
        <w:t>: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привлечение населения муниципального округа  к социально значимым природоохранным мероприятиям, способствующим формированию бережного отношения к природе;</w:t>
      </w:r>
    </w:p>
    <w:p w:rsidR="00CC36CB" w:rsidRPr="00CC36CB" w:rsidRDefault="00CC36CB" w:rsidP="00CC36CB">
      <w:pPr>
        <w:pStyle w:val="aa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CC36CB">
        <w:rPr>
          <w:rFonts w:ascii="Times New Roman" w:hAnsi="Times New Roman"/>
          <w:sz w:val="28"/>
          <w:szCs w:val="28"/>
        </w:rPr>
        <w:t xml:space="preserve"> совершенствование системы сбора, транспортирования, обработки, утилизации, обезвреживания и захоронения твердых коммунальных отходов;</w:t>
      </w:r>
    </w:p>
    <w:p w:rsidR="00CC36CB" w:rsidRPr="00CC36CB" w:rsidRDefault="00CC36CB" w:rsidP="00CC36CB">
      <w:pPr>
        <w:pStyle w:val="aa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CC36CB">
        <w:rPr>
          <w:rFonts w:ascii="Times New Roman" w:hAnsi="Times New Roman"/>
          <w:sz w:val="28"/>
          <w:szCs w:val="28"/>
        </w:rPr>
        <w:t>внедрение раздельного сбора твердых коммунальных отходов на территории муниципального округа;</w:t>
      </w:r>
    </w:p>
    <w:p w:rsidR="00CC36CB" w:rsidRPr="00CC36CB" w:rsidRDefault="00CC36CB" w:rsidP="00CC36CB">
      <w:pPr>
        <w:pStyle w:val="aa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CC36CB">
        <w:rPr>
          <w:rFonts w:ascii="Times New Roman" w:hAnsi="Times New Roman" w:cs="Calibri"/>
          <w:bCs/>
          <w:sz w:val="28"/>
          <w:szCs w:val="28"/>
        </w:rPr>
        <w:t xml:space="preserve">увеличение доли ликвидированных мест несанкционированного размещения отходов по отношению к </w:t>
      </w:r>
      <w:proofErr w:type="gramStart"/>
      <w:r w:rsidRPr="00CC36CB">
        <w:rPr>
          <w:rFonts w:ascii="Times New Roman" w:hAnsi="Times New Roman" w:cs="Calibri"/>
          <w:bCs/>
          <w:sz w:val="28"/>
          <w:szCs w:val="28"/>
        </w:rPr>
        <w:t>выявленным</w:t>
      </w:r>
      <w:proofErr w:type="gramEnd"/>
      <w:r w:rsidRPr="00CC36CB">
        <w:rPr>
          <w:rFonts w:ascii="Times New Roman" w:hAnsi="Times New Roman" w:cs="Calibri"/>
          <w:bCs/>
          <w:sz w:val="28"/>
          <w:szCs w:val="28"/>
        </w:rPr>
        <w:t>.</w:t>
      </w:r>
    </w:p>
    <w:p w:rsidR="00CC36CB" w:rsidRPr="00CC36CB" w:rsidRDefault="00CC36CB" w:rsidP="00CC36CB">
      <w:pPr>
        <w:pStyle w:val="aa"/>
        <w:ind w:right="-185" w:firstLine="709"/>
        <w:jc w:val="both"/>
        <w:rPr>
          <w:rFonts w:ascii="Times New Roman" w:hAnsi="Times New Roman"/>
          <w:sz w:val="28"/>
          <w:szCs w:val="28"/>
        </w:rPr>
      </w:pP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36CB">
        <w:rPr>
          <w:b/>
          <w:sz w:val="28"/>
          <w:szCs w:val="28"/>
        </w:rPr>
        <w:t xml:space="preserve"> Характеристика текущего состояния с указанием основных проблем соответствующей сферы социально-экономического развития Солецкого муниципального округа, приоритеты и цели муниципальной политики в указанной сфере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На территории муниципального округа  существует ряд серьезных проблем в сфере окружающей среды, решение которых возможно программно-целевым методом.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 xml:space="preserve">На территории Солецкого муниципального района в 350 м от д. </w:t>
      </w:r>
      <w:proofErr w:type="gramStart"/>
      <w:r w:rsidRPr="00CC36CB">
        <w:rPr>
          <w:sz w:val="28"/>
          <w:szCs w:val="28"/>
        </w:rPr>
        <w:t>Большое</w:t>
      </w:r>
      <w:proofErr w:type="gramEnd"/>
      <w:r w:rsidRPr="00CC36CB">
        <w:rPr>
          <w:sz w:val="28"/>
          <w:szCs w:val="28"/>
        </w:rPr>
        <w:t xml:space="preserve"> Заборовье  с 1998 года  действовала санкционированная свалка твердых коммунальных отходов (далее-ТКО). Ежегодно на полигон вывозилось до 1500 тонн ТКО.  Площадь свалки ТКО  составляет 3,0 га. Территория санкционированной свалки не была </w:t>
      </w:r>
      <w:proofErr w:type="spellStart"/>
      <w:r w:rsidRPr="00CC36CB">
        <w:rPr>
          <w:sz w:val="28"/>
          <w:szCs w:val="28"/>
        </w:rPr>
        <w:t>оканавлена</w:t>
      </w:r>
      <w:proofErr w:type="spellEnd"/>
      <w:r w:rsidRPr="00CC36CB">
        <w:rPr>
          <w:sz w:val="28"/>
          <w:szCs w:val="28"/>
        </w:rPr>
        <w:t xml:space="preserve">, не была ограждена, не охранялась. Хозяйственная зона отсутствовала. </w:t>
      </w:r>
      <w:proofErr w:type="gramStart"/>
      <w:r w:rsidRPr="00CC36CB">
        <w:rPr>
          <w:sz w:val="28"/>
          <w:szCs w:val="28"/>
        </w:rPr>
        <w:t>Контроль за</w:t>
      </w:r>
      <w:proofErr w:type="gramEnd"/>
      <w:r w:rsidRPr="00CC36CB">
        <w:rPr>
          <w:sz w:val="28"/>
          <w:szCs w:val="28"/>
        </w:rPr>
        <w:t xml:space="preserve"> приемом отходов на свалке не велся. Пересыпка отходов изолирующим слоем из шлаков, глины, </w:t>
      </w:r>
      <w:proofErr w:type="gramStart"/>
      <w:r w:rsidRPr="00CC36CB">
        <w:rPr>
          <w:sz w:val="28"/>
          <w:szCs w:val="28"/>
        </w:rPr>
        <w:t>уличного</w:t>
      </w:r>
      <w:proofErr w:type="gramEnd"/>
      <w:r w:rsidRPr="00CC36CB">
        <w:rPr>
          <w:sz w:val="28"/>
          <w:szCs w:val="28"/>
        </w:rPr>
        <w:t xml:space="preserve"> смета не производилась. Мойка для мусоровозов была не предусмотрена. Пожарный водоем отсутствовал. По </w:t>
      </w:r>
      <w:r w:rsidRPr="00CC36CB">
        <w:rPr>
          <w:sz w:val="28"/>
          <w:szCs w:val="28"/>
        </w:rPr>
        <w:lastRenderedPageBreak/>
        <w:t>имеющимся заключениям лабораторных исследований филиала Федерального государственного учреждения здравоохранения «Центр гигиены и эпидемиологии в Новгородской области в Старорусском районе» санкционированная свалка оказывала отрицательное воздействие на качество грунтовых и подземных вод.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Кроме того, свалка расположена в непосредственной близости от соснового бора, который в соответствии со схемой территориального планирования Солецкого муниципального округа является памятником природы. Данный сосновый бор жителями Солецкого округа используется как место отдыха, место для сбора грибов и ягод, привлекает своей красотой.  На территории данного бора имеются объекты (исторические памятники) периода Великой Отечественной войны, которые в свою очередь привлекают не только туристов нашего района, но и близлежащих районов.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 xml:space="preserve"> С 2013 года эксплуатация свалки  прекращена.</w:t>
      </w:r>
    </w:p>
    <w:p w:rsidR="00CC36CB" w:rsidRPr="00CC36CB" w:rsidRDefault="00CC36CB" w:rsidP="00CC3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Требуется рекультивация санкционированной свалки в Солецком муниципальном округе. В 2021 году будут выполнены  работы по изготовлению проектно-сметной  документации на рекультивацию земельного участка, загрязненного в результате расположения на нём объектов размещения отходов. Рекультивация свалки  представляет собой комплекс работ, которые направлены на восстановление народнохозяйственной ценности и продуктивности восстанавливаемой территории. Кроме того, данные работы также будут направлены на улучшение экологических условий окружающей среды  в Солецком муниципального округа.</w:t>
      </w:r>
    </w:p>
    <w:p w:rsidR="00CC36CB" w:rsidRPr="00CC36CB" w:rsidRDefault="00CC36CB" w:rsidP="00CC3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 xml:space="preserve"> Огромную роль  играет экологическое просвещение населения. Проведение в образовательных учреждениях, учреждений культуры мероприятий по охране окружающей среды и экологической безопасности позволит добиться  более бережного отношения в природе.                       </w:t>
      </w:r>
    </w:p>
    <w:p w:rsidR="00CC36CB" w:rsidRPr="00CC36CB" w:rsidRDefault="00CC36CB" w:rsidP="00CC3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 xml:space="preserve"> С августа 2018 года на территории муниципального округа приступил к работе региональный оператор по обращению с твердыми коммунальными отходами. В соответствии с действующим законодательством каждый домовладелец является потребителем коммунальной услуги и на каждое домовладение возложены обязанности по сдаче мусора региональному оператору. Это позволит сократить рост несанкционированных мест размещения отходов, что позволит жителям муниципального округа проживать в благоприятной экологической обстановке.</w:t>
      </w:r>
    </w:p>
    <w:p w:rsidR="00CC36CB" w:rsidRPr="00CC36CB" w:rsidRDefault="00CC36CB" w:rsidP="00CC3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Внедрение раздельного сбора твердых коммунальных отходов позволит сократить количество отходов для захоронения.  Для системы раздельного сбора почти все отходы — это вторичное сырьё, которое можно ещё не раз использовать для производства новой продукции.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Реализация Программы позволит решить природоохранные задачи в Солецком муниципальном округе, в перспективе - улучшить экологическую ситуацию.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t xml:space="preserve">  Перечень и анализ </w:t>
      </w:r>
      <w:proofErr w:type="gramStart"/>
      <w:r w:rsidRPr="00CC36CB">
        <w:rPr>
          <w:b/>
          <w:sz w:val="28"/>
          <w:szCs w:val="28"/>
        </w:rPr>
        <w:t>социальных</w:t>
      </w:r>
      <w:proofErr w:type="gramEnd"/>
      <w:r w:rsidRPr="00CC36CB">
        <w:rPr>
          <w:b/>
          <w:sz w:val="28"/>
          <w:szCs w:val="28"/>
        </w:rPr>
        <w:t xml:space="preserve">,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36CB">
        <w:rPr>
          <w:b/>
          <w:sz w:val="28"/>
          <w:szCs w:val="28"/>
        </w:rPr>
        <w:t>финансово-экономических и прочих рисков реализации муниципальной программы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К рискам реализации Программы следует отнести следующие: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lastRenderedPageBreak/>
        <w:t xml:space="preserve">1. Риск исполнителей (соисполнителей),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средств областного бюджета и бюджета муниципального округа. 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3. 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ухудшения состояния окружающей среды на территории муниципального округа, а также потребовать концентрации средств бюджета муниципального округа на преодоление последствий таких катастроф.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4. 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В случае необходимости планируется ежегодно производить корректировку мероприятий муниципальной программы с перераспределением объемов финансирования в зависимости от динамики и темпов достижения поставленных задач.</w:t>
      </w:r>
    </w:p>
    <w:p w:rsidR="00CC36CB" w:rsidRPr="00CC36CB" w:rsidRDefault="00CC36CB" w:rsidP="00CC3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6CB" w:rsidRPr="00CC36CB" w:rsidRDefault="00CC36CB" w:rsidP="00CC36CB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36CB">
        <w:rPr>
          <w:rFonts w:ascii="Times New Roman" w:hAnsi="Times New Roman"/>
          <w:b/>
          <w:sz w:val="28"/>
          <w:szCs w:val="28"/>
        </w:rPr>
        <w:t xml:space="preserve"> Механизм управления реализацией муниципальной программы, который содержит информацию по осуществлению </w:t>
      </w:r>
      <w:proofErr w:type="gramStart"/>
      <w:r w:rsidRPr="00CC36C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C36CB">
        <w:rPr>
          <w:rFonts w:ascii="Times New Roman" w:hAnsi="Times New Roman"/>
          <w:b/>
          <w:sz w:val="28"/>
          <w:szCs w:val="28"/>
        </w:rPr>
        <w:t xml:space="preserve"> ходом её выполнения</w:t>
      </w:r>
    </w:p>
    <w:p w:rsidR="00CC36CB" w:rsidRPr="00CC36CB" w:rsidRDefault="00CC36CB" w:rsidP="00CC36CB">
      <w:pPr>
        <w:tabs>
          <w:tab w:val="left" w:pos="540"/>
        </w:tabs>
        <w:ind w:firstLine="709"/>
        <w:jc w:val="both"/>
        <w:rPr>
          <w:snapToGrid w:val="0"/>
          <w:sz w:val="28"/>
        </w:rPr>
      </w:pPr>
      <w:r w:rsidRPr="00CC36CB">
        <w:rPr>
          <w:snapToGrid w:val="0"/>
          <w:sz w:val="28"/>
        </w:rPr>
        <w:t xml:space="preserve">Комитет осуществляет </w:t>
      </w:r>
      <w:proofErr w:type="gramStart"/>
      <w:r w:rsidRPr="00CC36CB">
        <w:rPr>
          <w:snapToGrid w:val="0"/>
          <w:sz w:val="28"/>
        </w:rPr>
        <w:t>контроль за</w:t>
      </w:r>
      <w:proofErr w:type="gramEnd"/>
      <w:r w:rsidRPr="00CC36CB">
        <w:rPr>
          <w:snapToGrid w:val="0"/>
          <w:sz w:val="28"/>
        </w:rPr>
        <w:t xml:space="preserve"> реализацией муниципальной программы в том числе: </w:t>
      </w:r>
    </w:p>
    <w:p w:rsidR="00CC36CB" w:rsidRPr="00CC36CB" w:rsidRDefault="00CC36CB" w:rsidP="00CC36CB">
      <w:pPr>
        <w:tabs>
          <w:tab w:val="left" w:pos="720"/>
        </w:tabs>
        <w:ind w:firstLine="709"/>
        <w:jc w:val="both"/>
        <w:rPr>
          <w:snapToGrid w:val="0"/>
          <w:sz w:val="28"/>
        </w:rPr>
      </w:pPr>
      <w:r w:rsidRPr="00CC36CB">
        <w:rPr>
          <w:snapToGrid w:val="0"/>
          <w:sz w:val="28"/>
        </w:rPr>
        <w:t>-  контроль и координация выполнения запланированных мероприятий;</w:t>
      </w:r>
    </w:p>
    <w:p w:rsidR="00CC36CB" w:rsidRPr="00CC36CB" w:rsidRDefault="00CC36CB" w:rsidP="00CC36CB">
      <w:pPr>
        <w:tabs>
          <w:tab w:val="left" w:pos="720"/>
        </w:tabs>
        <w:ind w:firstLine="709"/>
        <w:jc w:val="both"/>
        <w:rPr>
          <w:snapToGrid w:val="0"/>
          <w:sz w:val="28"/>
        </w:rPr>
      </w:pPr>
      <w:r w:rsidRPr="00CC36CB">
        <w:rPr>
          <w:snapToGrid w:val="0"/>
          <w:sz w:val="28"/>
        </w:rPr>
        <w:t>-  подготовка при необходимости предложений по уточнению мероприятий, объемов финансирования, исполнителей, целевых показателей реализации муниципальной программы;</w:t>
      </w:r>
    </w:p>
    <w:p w:rsidR="00CC36CB" w:rsidRPr="00CC36CB" w:rsidRDefault="00CC36CB" w:rsidP="00CC36CB">
      <w:pPr>
        <w:tabs>
          <w:tab w:val="left" w:pos="720"/>
        </w:tabs>
        <w:ind w:firstLine="709"/>
        <w:jc w:val="both"/>
        <w:rPr>
          <w:snapToGrid w:val="0"/>
          <w:sz w:val="28"/>
        </w:rPr>
      </w:pPr>
      <w:r w:rsidRPr="00CC36CB">
        <w:rPr>
          <w:snapToGrid w:val="0"/>
          <w:sz w:val="28"/>
        </w:rPr>
        <w:t>- обеспечение эффективности реализации программы в целом.</w:t>
      </w:r>
    </w:p>
    <w:p w:rsidR="00CC36CB" w:rsidRPr="00CC36CB" w:rsidRDefault="00CC36CB" w:rsidP="00CC36CB">
      <w:pPr>
        <w:tabs>
          <w:tab w:val="left" w:pos="720"/>
        </w:tabs>
        <w:ind w:firstLine="709"/>
        <w:jc w:val="both"/>
        <w:rPr>
          <w:snapToGrid w:val="0"/>
          <w:sz w:val="28"/>
        </w:rPr>
      </w:pPr>
      <w:proofErr w:type="gramStart"/>
      <w:r w:rsidRPr="00CC36CB">
        <w:rPr>
          <w:snapToGrid w:val="0"/>
          <w:sz w:val="28"/>
        </w:rPr>
        <w:t>Комитет  до 5 июля текущего года и до 20 февраля года, следующего за отчетным, составляет полугодовой и годовой отчеты о ходе реализации программы, обеспечивает их согласование с первым заместителем Главы администрации муниципального округа и представляет его в Управление делами  Администрации муниципального округа.</w:t>
      </w:r>
      <w:proofErr w:type="gramEnd"/>
      <w:r w:rsidRPr="00CC36CB">
        <w:rPr>
          <w:snapToGrid w:val="0"/>
          <w:sz w:val="28"/>
        </w:rPr>
        <w:t xml:space="preserve"> Расчёт интегральной оценки эффективности реализации программы составляется ежегодно до 20 февраля года, следующего за </w:t>
      </w:r>
      <w:proofErr w:type="gramStart"/>
      <w:r w:rsidRPr="00CC36CB">
        <w:rPr>
          <w:snapToGrid w:val="0"/>
          <w:sz w:val="28"/>
        </w:rPr>
        <w:t>отчётным</w:t>
      </w:r>
      <w:proofErr w:type="gramEnd"/>
      <w:r w:rsidRPr="00CC36CB">
        <w:rPr>
          <w:snapToGrid w:val="0"/>
          <w:sz w:val="28"/>
        </w:rPr>
        <w:t>.</w:t>
      </w:r>
    </w:p>
    <w:p w:rsidR="00CC36CB" w:rsidRDefault="00CC36CB" w:rsidP="00CC36CB">
      <w:pPr>
        <w:tabs>
          <w:tab w:val="left" w:pos="720"/>
        </w:tabs>
        <w:ind w:firstLine="709"/>
        <w:jc w:val="both"/>
        <w:rPr>
          <w:snapToGrid w:val="0"/>
          <w:sz w:val="28"/>
        </w:rPr>
      </w:pPr>
      <w:r w:rsidRPr="00CC36CB">
        <w:rPr>
          <w:snapToGrid w:val="0"/>
          <w:sz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их невыполнения, а также информация о причинах неполного освоения финансовых средств.</w:t>
      </w:r>
    </w:p>
    <w:p w:rsidR="00CC36CB" w:rsidRPr="00CC36CB" w:rsidRDefault="00CC36CB" w:rsidP="00CC36CB">
      <w:pPr>
        <w:tabs>
          <w:tab w:val="left" w:pos="720"/>
        </w:tabs>
        <w:ind w:firstLine="709"/>
        <w:jc w:val="both"/>
        <w:rPr>
          <w:sz w:val="28"/>
          <w:szCs w:val="28"/>
        </w:rPr>
        <w:sectPr w:rsidR="00CC36CB" w:rsidRPr="00CC36CB" w:rsidSect="00F806C9">
          <w:pgSz w:w="11906" w:h="16838"/>
          <w:pgMar w:top="426" w:right="567" w:bottom="851" w:left="1985" w:header="709" w:footer="709" w:gutter="0"/>
          <w:cols w:space="708"/>
          <w:docGrid w:linePitch="360"/>
        </w:sectPr>
      </w:pPr>
    </w:p>
    <w:p w:rsidR="00CC36CB" w:rsidRDefault="00CC36CB" w:rsidP="00CC36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6CB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CC36CB" w:rsidRPr="00CC36CB" w:rsidRDefault="00CC36CB" w:rsidP="00CC36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452"/>
        <w:gridCol w:w="2379"/>
        <w:gridCol w:w="1591"/>
        <w:gridCol w:w="1401"/>
        <w:gridCol w:w="713"/>
        <w:gridCol w:w="2253"/>
        <w:gridCol w:w="470"/>
        <w:gridCol w:w="470"/>
        <w:gridCol w:w="470"/>
        <w:gridCol w:w="504"/>
        <w:gridCol w:w="504"/>
        <w:gridCol w:w="504"/>
      </w:tblGrid>
      <w:tr w:rsidR="00CC36CB" w:rsidRPr="00CC36CB" w:rsidTr="00E01691">
        <w:trPr>
          <w:trHeight w:val="20"/>
        </w:trPr>
        <w:tc>
          <w:tcPr>
            <w:tcW w:w="641" w:type="dxa"/>
            <w:vMerge w:val="restart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C36CB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CC36CB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52" w:type="dxa"/>
            <w:vMerge w:val="restart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379" w:type="dxa"/>
            <w:vMerge w:val="restart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591" w:type="dxa"/>
            <w:vMerge w:val="restart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114" w:type="dxa"/>
            <w:gridSpan w:val="2"/>
            <w:vMerge w:val="restart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CC36CB">
              <w:rPr>
                <w:sz w:val="28"/>
                <w:szCs w:val="28"/>
                <w:lang w:eastAsia="ar-SA"/>
              </w:rPr>
              <w:t>Целевой показатель (номер целевого показатели из паспорта муниципальной программы)</w:t>
            </w:r>
            <w:proofErr w:type="gramEnd"/>
          </w:p>
        </w:tc>
        <w:tc>
          <w:tcPr>
            <w:tcW w:w="2253" w:type="dxa"/>
            <w:vMerge w:val="restart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2922" w:type="dxa"/>
            <w:gridSpan w:val="6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Объем финансирования по годам (тыс</w:t>
            </w:r>
            <w:proofErr w:type="gramStart"/>
            <w:r w:rsidRPr="00CC36CB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CC36CB">
              <w:rPr>
                <w:sz w:val="28"/>
                <w:szCs w:val="28"/>
                <w:lang w:eastAsia="ar-SA"/>
              </w:rPr>
              <w:t>уб.)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Merge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2" w:type="dxa"/>
            <w:vMerge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379" w:type="dxa"/>
            <w:vMerge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1" w:type="dxa"/>
            <w:vMerge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14" w:type="dxa"/>
            <w:gridSpan w:val="2"/>
            <w:vMerge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253" w:type="dxa"/>
            <w:vMerge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pacing w:line="240" w:lineRule="exact"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pacing w:line="240" w:lineRule="exact"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pacing w:line="240" w:lineRule="exact"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pacing w:line="240" w:lineRule="exact"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pacing w:line="240" w:lineRule="exact"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pacing w:line="240" w:lineRule="exact"/>
              <w:ind w:left="113" w:right="113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2026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52" w:type="dxa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79" w:type="dxa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91" w:type="dxa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14" w:type="dxa"/>
            <w:gridSpan w:val="2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53" w:type="dxa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36CB" w:rsidRPr="00CC36CB" w:rsidRDefault="00CC36CB" w:rsidP="00B913F4">
            <w:pPr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36CB" w:rsidRPr="00CC36CB" w:rsidRDefault="00CC36CB" w:rsidP="00B913F4">
            <w:pPr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36CB" w:rsidRPr="00CC36CB" w:rsidRDefault="00CC36CB" w:rsidP="00B913F4">
            <w:pPr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CC36CB" w:rsidRPr="00CC36CB" w:rsidRDefault="00CC36CB" w:rsidP="00B913F4">
            <w:pPr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CC36CB" w:rsidRPr="00CC36CB" w:rsidRDefault="00CC36CB" w:rsidP="00B913F4">
            <w:pPr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CC36CB" w:rsidRPr="00CC36CB" w:rsidRDefault="00CC36CB" w:rsidP="00B913F4">
            <w:pPr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12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36CB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711" w:type="dxa"/>
            <w:gridSpan w:val="12"/>
            <w:vAlign w:val="center"/>
          </w:tcPr>
          <w:p w:rsidR="00CC36CB" w:rsidRPr="00CC36CB" w:rsidRDefault="00CC36CB" w:rsidP="00B913F4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CC36CB">
              <w:rPr>
                <w:b/>
                <w:bCs/>
                <w:sz w:val="28"/>
                <w:szCs w:val="28"/>
              </w:rPr>
              <w:t>Задача 1.</w:t>
            </w:r>
            <w:r w:rsidRPr="00CC36CB">
              <w:rPr>
                <w:b/>
                <w:sz w:val="28"/>
                <w:szCs w:val="28"/>
              </w:rPr>
              <w:t xml:space="preserve"> </w:t>
            </w:r>
            <w:r w:rsidRPr="00CC36CB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CC36CB">
              <w:rPr>
                <w:rFonts w:cs="Calibri"/>
                <w:b/>
                <w:bCs/>
                <w:sz w:val="28"/>
                <w:szCs w:val="28"/>
              </w:rPr>
              <w:t>Предупреждение причинения вреда окружающей среде и здоровью населения при размещении твердых коммунальных отходов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1.1.</w:t>
            </w:r>
          </w:p>
        </w:tc>
        <w:tc>
          <w:tcPr>
            <w:tcW w:w="3452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Изготовление  проектно-сметной документации по рекультивации земельного участка, загрязненного в результате расположения на нём объекта размещения отходо</w:t>
            </w:r>
            <w:proofErr w:type="gramStart"/>
            <w:r w:rsidRPr="00CC36CB">
              <w:rPr>
                <w:sz w:val="28"/>
                <w:szCs w:val="28"/>
              </w:rPr>
              <w:t>в(</w:t>
            </w:r>
            <w:proofErr w:type="gramEnd"/>
            <w:r w:rsidRPr="00CC36CB">
              <w:rPr>
                <w:sz w:val="28"/>
                <w:szCs w:val="28"/>
              </w:rPr>
              <w:t>ед.)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Комитет, организации (по согласованию)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 год</w:t>
            </w:r>
          </w:p>
        </w:tc>
        <w:tc>
          <w:tcPr>
            <w:tcW w:w="2114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1.1.1.</w:t>
            </w:r>
          </w:p>
        </w:tc>
        <w:tc>
          <w:tcPr>
            <w:tcW w:w="2253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1895,10000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1.2.</w:t>
            </w:r>
          </w:p>
        </w:tc>
        <w:tc>
          <w:tcPr>
            <w:tcW w:w="3452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C36CB">
              <w:rPr>
                <w:rFonts w:cs="Calibri"/>
                <w:sz w:val="28"/>
                <w:szCs w:val="28"/>
              </w:rPr>
              <w:t>Рекультивация  земельного участка, загрязненного в результате расположения на нём объекта размещения отходов (ед.)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Комитет, организации (по согласованию)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2026 год</w:t>
            </w:r>
          </w:p>
        </w:tc>
        <w:tc>
          <w:tcPr>
            <w:tcW w:w="2114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1.1.2.</w:t>
            </w:r>
          </w:p>
        </w:tc>
        <w:tc>
          <w:tcPr>
            <w:tcW w:w="2253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</w:tr>
      <w:tr w:rsidR="002837E1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2837E1" w:rsidRPr="00CC36CB" w:rsidRDefault="002837E1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52" w:type="dxa"/>
            <w:vAlign w:val="center"/>
          </w:tcPr>
          <w:p w:rsidR="002837E1" w:rsidRPr="00CC36CB" w:rsidRDefault="002837E1" w:rsidP="00B913F4">
            <w:pPr>
              <w:suppressAutoHyphens/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Ликвидация несанкционированных мест размещения отходов (ед.)</w:t>
            </w:r>
          </w:p>
        </w:tc>
        <w:tc>
          <w:tcPr>
            <w:tcW w:w="2379" w:type="dxa"/>
            <w:vAlign w:val="center"/>
          </w:tcPr>
          <w:p w:rsidR="002837E1" w:rsidRPr="00CC36CB" w:rsidRDefault="002837E1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Комитет, организации </w:t>
            </w:r>
            <w:r w:rsidR="00E01691">
              <w:rPr>
                <w:sz w:val="28"/>
                <w:szCs w:val="28"/>
              </w:rPr>
              <w:t xml:space="preserve">(по согласования) </w:t>
            </w:r>
          </w:p>
        </w:tc>
        <w:tc>
          <w:tcPr>
            <w:tcW w:w="1591" w:type="dxa"/>
            <w:vAlign w:val="center"/>
          </w:tcPr>
          <w:p w:rsidR="002837E1" w:rsidRPr="00CC36CB" w:rsidRDefault="00E01691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114" w:type="dxa"/>
            <w:gridSpan w:val="2"/>
            <w:vAlign w:val="center"/>
          </w:tcPr>
          <w:p w:rsidR="002837E1" w:rsidRPr="00CC36CB" w:rsidRDefault="00E01691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2253" w:type="dxa"/>
            <w:vAlign w:val="center"/>
          </w:tcPr>
          <w:p w:rsidR="002837E1" w:rsidRPr="00CC36CB" w:rsidRDefault="00E01691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округа </w:t>
            </w:r>
          </w:p>
        </w:tc>
        <w:tc>
          <w:tcPr>
            <w:tcW w:w="470" w:type="dxa"/>
            <w:textDirection w:val="btLr"/>
          </w:tcPr>
          <w:p w:rsidR="002837E1" w:rsidRPr="00CC36CB" w:rsidRDefault="00E01691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300,0000</w:t>
            </w:r>
          </w:p>
        </w:tc>
        <w:tc>
          <w:tcPr>
            <w:tcW w:w="470" w:type="dxa"/>
            <w:textDirection w:val="btLr"/>
          </w:tcPr>
          <w:p w:rsidR="002837E1" w:rsidRPr="00CC36CB" w:rsidRDefault="002837E1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</w:tcPr>
          <w:p w:rsidR="002837E1" w:rsidRPr="00CC36CB" w:rsidRDefault="002837E1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extDirection w:val="btLr"/>
          </w:tcPr>
          <w:p w:rsidR="002837E1" w:rsidRPr="00CC36CB" w:rsidRDefault="002837E1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extDirection w:val="btLr"/>
          </w:tcPr>
          <w:p w:rsidR="002837E1" w:rsidRPr="00CC36CB" w:rsidRDefault="002837E1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extDirection w:val="btLr"/>
          </w:tcPr>
          <w:p w:rsidR="002837E1" w:rsidRPr="00CC36CB" w:rsidRDefault="002837E1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2.</w:t>
            </w:r>
          </w:p>
        </w:tc>
        <w:tc>
          <w:tcPr>
            <w:tcW w:w="14711" w:type="dxa"/>
            <w:gridSpan w:val="1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36CB">
              <w:rPr>
                <w:b/>
                <w:sz w:val="28"/>
                <w:szCs w:val="28"/>
              </w:rPr>
              <w:t xml:space="preserve">Задача 2. </w:t>
            </w:r>
            <w:r w:rsidRPr="00CC36CB">
              <w:rPr>
                <w:b/>
                <w:bCs/>
                <w:sz w:val="28"/>
                <w:szCs w:val="28"/>
              </w:rPr>
              <w:t xml:space="preserve"> Организация доступа к информации в сфере обращения с отходами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2.1.</w:t>
            </w:r>
          </w:p>
        </w:tc>
        <w:tc>
          <w:tcPr>
            <w:tcW w:w="3452" w:type="dxa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Информационное просвещение населения о состоянии окружающей среды и об организации деятельности в области обращения с отходами, (ед.)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Комитет, территориальные отделы (по согласованию)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2021-2026 годы</w:t>
            </w:r>
          </w:p>
        </w:tc>
        <w:tc>
          <w:tcPr>
            <w:tcW w:w="2114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1.2.1.</w:t>
            </w:r>
          </w:p>
        </w:tc>
        <w:tc>
          <w:tcPr>
            <w:tcW w:w="2253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52" w:type="dxa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Проведение в образовательных учреждениях, учреждениях культуры мероприятий по охране окружающей среды и экологической безопасности, (ед.)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Комитет образования, комитет культуры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2021-2026 годы</w:t>
            </w:r>
          </w:p>
        </w:tc>
        <w:tc>
          <w:tcPr>
            <w:tcW w:w="2114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1.2.2</w:t>
            </w:r>
          </w:p>
        </w:tc>
        <w:tc>
          <w:tcPr>
            <w:tcW w:w="2253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</w:t>
            </w:r>
          </w:p>
        </w:tc>
        <w:tc>
          <w:tcPr>
            <w:tcW w:w="14711" w:type="dxa"/>
            <w:gridSpan w:val="12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CC36CB">
              <w:rPr>
                <w:b/>
                <w:bCs/>
                <w:sz w:val="28"/>
                <w:szCs w:val="28"/>
              </w:rPr>
              <w:t>Задача 3. Противодействие возникновению мест несанкционированного размещению отходов на территории муниципального округа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rFonts w:cs="Calibri"/>
                <w:sz w:val="28"/>
                <w:szCs w:val="28"/>
              </w:rPr>
              <w:t>3.1.</w:t>
            </w:r>
          </w:p>
        </w:tc>
        <w:tc>
          <w:tcPr>
            <w:tcW w:w="3452" w:type="dxa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Увеличение доли ликвидированных мест несанкционированного размещения отходов по отношению к </w:t>
            </w:r>
            <w:proofErr w:type="gramStart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выявленным</w:t>
            </w:r>
            <w:proofErr w:type="gramEnd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, (%)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Комитет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2021-2026годы</w:t>
            </w:r>
          </w:p>
        </w:tc>
        <w:tc>
          <w:tcPr>
            <w:tcW w:w="2114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1.3.1</w:t>
            </w:r>
          </w:p>
        </w:tc>
        <w:tc>
          <w:tcPr>
            <w:tcW w:w="2253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rFonts w:cs="Calibri"/>
                <w:sz w:val="28"/>
                <w:szCs w:val="28"/>
              </w:rPr>
            </w:pPr>
            <w:r w:rsidRPr="00CC36CB">
              <w:rPr>
                <w:rFonts w:cs="Calibri"/>
                <w:sz w:val="28"/>
                <w:szCs w:val="28"/>
              </w:rPr>
              <w:t>3.2.</w:t>
            </w:r>
          </w:p>
        </w:tc>
        <w:tc>
          <w:tcPr>
            <w:tcW w:w="3452" w:type="dxa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Направление уведомлений региональному оператору по обращению с твердыми коммунальными отходами о несанкционированных местах размещения отходов</w:t>
            </w:r>
            <w:proofErr w:type="gramStart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Комитет, территориальные отделы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2021-2026 годы</w:t>
            </w:r>
          </w:p>
        </w:tc>
        <w:tc>
          <w:tcPr>
            <w:tcW w:w="2114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1.3.2.</w:t>
            </w:r>
          </w:p>
        </w:tc>
        <w:tc>
          <w:tcPr>
            <w:tcW w:w="2253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rFonts w:cs="Calibri"/>
                <w:sz w:val="28"/>
                <w:szCs w:val="28"/>
              </w:rPr>
            </w:pPr>
            <w:r w:rsidRPr="00CC36CB">
              <w:rPr>
                <w:rFonts w:cs="Calibri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52" w:type="dxa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Информирование населения, об обязанности заключения договоров на оказание услуг по обращению с твердыми коммунальными отходами с региональным оператором по обращению с твердыми коммунальными отходами (кол-во)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 xml:space="preserve">Комитет, территориальные отделы 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2021-2026 годы</w:t>
            </w:r>
          </w:p>
        </w:tc>
        <w:tc>
          <w:tcPr>
            <w:tcW w:w="2114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1.3.3.</w:t>
            </w:r>
          </w:p>
        </w:tc>
        <w:tc>
          <w:tcPr>
            <w:tcW w:w="2253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</w:t>
            </w:r>
          </w:p>
        </w:tc>
        <w:tc>
          <w:tcPr>
            <w:tcW w:w="14711" w:type="dxa"/>
            <w:gridSpan w:val="12"/>
          </w:tcPr>
          <w:p w:rsidR="00CC36CB" w:rsidRPr="00CC36CB" w:rsidRDefault="00CC36CB" w:rsidP="00B913F4">
            <w:pPr>
              <w:widowControl w:val="0"/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CC36CB">
              <w:rPr>
                <w:b/>
                <w:bCs/>
                <w:sz w:val="28"/>
                <w:szCs w:val="28"/>
              </w:rPr>
              <w:t>Задача 4. Снижение негативного воздействия отходов производства и потребления на окружающую среду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rFonts w:cs="Calibri"/>
                <w:sz w:val="28"/>
                <w:szCs w:val="28"/>
              </w:rPr>
              <w:t>4.1.</w:t>
            </w:r>
          </w:p>
        </w:tc>
        <w:tc>
          <w:tcPr>
            <w:tcW w:w="3452" w:type="dxa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proofErr w:type="gramStart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Приобретенные</w:t>
            </w:r>
            <w:proofErr w:type="gramEnd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контейнера для раздельного сбора твердых коммунальных отходов, (ед.)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Комитет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2021-2026годы</w:t>
            </w:r>
          </w:p>
        </w:tc>
        <w:tc>
          <w:tcPr>
            <w:tcW w:w="140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1.4.1</w:t>
            </w:r>
          </w:p>
        </w:tc>
        <w:tc>
          <w:tcPr>
            <w:tcW w:w="2966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45,00000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45,00000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22,50000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-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rFonts w:cs="Calibri"/>
                <w:sz w:val="28"/>
                <w:szCs w:val="28"/>
              </w:rPr>
            </w:pPr>
            <w:r w:rsidRPr="00CC36CB">
              <w:rPr>
                <w:rFonts w:cs="Calibri"/>
                <w:sz w:val="28"/>
                <w:szCs w:val="28"/>
              </w:rPr>
              <w:t>4.2.</w:t>
            </w:r>
          </w:p>
        </w:tc>
        <w:tc>
          <w:tcPr>
            <w:tcW w:w="3452" w:type="dxa"/>
          </w:tcPr>
          <w:p w:rsidR="00CC36CB" w:rsidRPr="00CC36CB" w:rsidRDefault="0081674D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Обустройство </w:t>
            </w:r>
            <w:r w:rsidR="00CC36CB"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контейнерных площадок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 xml:space="preserve">Комитет, территориальные отделы 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2021-2026 годы</w:t>
            </w:r>
          </w:p>
        </w:tc>
        <w:tc>
          <w:tcPr>
            <w:tcW w:w="140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1.4.2.</w:t>
            </w:r>
          </w:p>
        </w:tc>
        <w:tc>
          <w:tcPr>
            <w:tcW w:w="2966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102,20000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102,20000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102,20000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102,20000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102,20000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102,20000</w:t>
            </w:r>
          </w:p>
        </w:tc>
      </w:tr>
      <w:tr w:rsidR="00CC36CB" w:rsidRPr="00CC36CB" w:rsidTr="00E01691">
        <w:trPr>
          <w:cantSplit/>
          <w:trHeight w:val="20"/>
        </w:trPr>
        <w:tc>
          <w:tcPr>
            <w:tcW w:w="64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rFonts w:cs="Calibri"/>
                <w:sz w:val="28"/>
                <w:szCs w:val="28"/>
              </w:rPr>
            </w:pPr>
            <w:r w:rsidRPr="00CC36CB">
              <w:rPr>
                <w:rFonts w:cs="Calibri"/>
                <w:sz w:val="28"/>
                <w:szCs w:val="28"/>
              </w:rPr>
              <w:t>4.3.</w:t>
            </w:r>
          </w:p>
        </w:tc>
        <w:tc>
          <w:tcPr>
            <w:tcW w:w="3452" w:type="dxa"/>
          </w:tcPr>
          <w:p w:rsidR="00CC36CB" w:rsidRPr="00CC36CB" w:rsidRDefault="00CC36CB" w:rsidP="00B913F4">
            <w:pPr>
              <w:pStyle w:val="aa"/>
              <w:jc w:val="both"/>
              <w:rPr>
                <w:rFonts w:ascii="Times New Roman" w:hAnsi="Times New Roman" w:cs="Calibri"/>
                <w:bCs/>
                <w:sz w:val="28"/>
                <w:szCs w:val="28"/>
              </w:rPr>
            </w:pPr>
            <w:proofErr w:type="gramStart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>Приобретенные</w:t>
            </w:r>
            <w:proofErr w:type="gramEnd"/>
            <w:r w:rsidRPr="00CC36CB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контейнера для сбора твердых коммунальных отходов </w:t>
            </w:r>
          </w:p>
        </w:tc>
        <w:tc>
          <w:tcPr>
            <w:tcW w:w="2379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Комитет</w:t>
            </w:r>
          </w:p>
        </w:tc>
        <w:tc>
          <w:tcPr>
            <w:tcW w:w="159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2021-2026 годы</w:t>
            </w:r>
          </w:p>
        </w:tc>
        <w:tc>
          <w:tcPr>
            <w:tcW w:w="1401" w:type="dxa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1.4.3.</w:t>
            </w:r>
          </w:p>
        </w:tc>
        <w:tc>
          <w:tcPr>
            <w:tcW w:w="2966" w:type="dxa"/>
            <w:gridSpan w:val="2"/>
            <w:vAlign w:val="center"/>
          </w:tcPr>
          <w:p w:rsidR="00CC36CB" w:rsidRPr="00CC36CB" w:rsidRDefault="00CC36CB" w:rsidP="00B913F4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35,50000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35,50000</w:t>
            </w:r>
          </w:p>
        </w:tc>
        <w:tc>
          <w:tcPr>
            <w:tcW w:w="470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35,50000</w:t>
            </w:r>
          </w:p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35,50000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35,50000</w:t>
            </w:r>
          </w:p>
        </w:tc>
        <w:tc>
          <w:tcPr>
            <w:tcW w:w="504" w:type="dxa"/>
            <w:textDirection w:val="btLr"/>
          </w:tcPr>
          <w:p w:rsidR="00CC36CB" w:rsidRPr="00CC36CB" w:rsidRDefault="00CC36CB" w:rsidP="00B913F4">
            <w:pPr>
              <w:suppressAutoHyphens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C36CB">
              <w:rPr>
                <w:sz w:val="28"/>
                <w:szCs w:val="28"/>
              </w:rPr>
              <w:t>35,50000</w:t>
            </w:r>
          </w:p>
        </w:tc>
      </w:tr>
    </w:tbl>
    <w:p w:rsidR="008F4CA9" w:rsidRPr="00CC36CB" w:rsidRDefault="008F4CA9" w:rsidP="00BE3985">
      <w:pPr>
        <w:tabs>
          <w:tab w:val="left" w:pos="6800"/>
        </w:tabs>
        <w:rPr>
          <w:b/>
          <w:sz w:val="28"/>
          <w:szCs w:val="28"/>
        </w:rPr>
      </w:pPr>
    </w:p>
    <w:p w:rsidR="008F4CA9" w:rsidRPr="00CC36CB" w:rsidRDefault="008F4CA9" w:rsidP="00BE3985">
      <w:pPr>
        <w:tabs>
          <w:tab w:val="left" w:pos="6800"/>
        </w:tabs>
        <w:rPr>
          <w:b/>
          <w:sz w:val="28"/>
          <w:szCs w:val="28"/>
        </w:rPr>
      </w:pPr>
    </w:p>
    <w:sectPr w:rsidR="008F4CA9" w:rsidRPr="00CC36CB" w:rsidSect="00CC36C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4D" w:rsidRDefault="00BE664D" w:rsidP="00847872">
      <w:r>
        <w:separator/>
      </w:r>
    </w:p>
  </w:endnote>
  <w:endnote w:type="continuationSeparator" w:id="0">
    <w:p w:rsidR="00BE664D" w:rsidRDefault="00BE664D" w:rsidP="008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4D" w:rsidRDefault="00BE664D" w:rsidP="00847872">
      <w:r>
        <w:separator/>
      </w:r>
    </w:p>
  </w:footnote>
  <w:footnote w:type="continuationSeparator" w:id="0">
    <w:p w:rsidR="00BE664D" w:rsidRDefault="00BE664D" w:rsidP="0084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34239F"/>
    <w:multiLevelType w:val="multilevel"/>
    <w:tmpl w:val="7E3C21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42782E9B"/>
    <w:multiLevelType w:val="hybridMultilevel"/>
    <w:tmpl w:val="0A3E3E34"/>
    <w:lvl w:ilvl="0" w:tplc="1AE4F0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7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0B"/>
    <w:rsid w:val="000010CD"/>
    <w:rsid w:val="000045DE"/>
    <w:rsid w:val="0000627E"/>
    <w:rsid w:val="00015F66"/>
    <w:rsid w:val="0001796F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1058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5794"/>
    <w:rsid w:val="000F5F4E"/>
    <w:rsid w:val="000F7687"/>
    <w:rsid w:val="001113CB"/>
    <w:rsid w:val="001129B0"/>
    <w:rsid w:val="00113FA8"/>
    <w:rsid w:val="00116A0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503C"/>
    <w:rsid w:val="00155079"/>
    <w:rsid w:val="00156937"/>
    <w:rsid w:val="001640FE"/>
    <w:rsid w:val="00165BE8"/>
    <w:rsid w:val="00173EEE"/>
    <w:rsid w:val="00174383"/>
    <w:rsid w:val="001760FE"/>
    <w:rsid w:val="0017620C"/>
    <w:rsid w:val="00187210"/>
    <w:rsid w:val="00192731"/>
    <w:rsid w:val="001943D0"/>
    <w:rsid w:val="00194C69"/>
    <w:rsid w:val="001A0BD9"/>
    <w:rsid w:val="001A6F91"/>
    <w:rsid w:val="001A7101"/>
    <w:rsid w:val="001B371C"/>
    <w:rsid w:val="001B626B"/>
    <w:rsid w:val="001B62D9"/>
    <w:rsid w:val="001C0C22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0892"/>
    <w:rsid w:val="002837E1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1669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3C7"/>
    <w:rsid w:val="00361451"/>
    <w:rsid w:val="003637DD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B7B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D5D95"/>
    <w:rsid w:val="003D6187"/>
    <w:rsid w:val="003E07DE"/>
    <w:rsid w:val="003E527D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20BA"/>
    <w:rsid w:val="00432100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384B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3520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278F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3413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1999"/>
    <w:rsid w:val="006026FB"/>
    <w:rsid w:val="0060391A"/>
    <w:rsid w:val="00607927"/>
    <w:rsid w:val="00611180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0A99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0DDE"/>
    <w:rsid w:val="006715C6"/>
    <w:rsid w:val="00676B35"/>
    <w:rsid w:val="00677663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363BE"/>
    <w:rsid w:val="007460A7"/>
    <w:rsid w:val="00746D78"/>
    <w:rsid w:val="00750B66"/>
    <w:rsid w:val="00754610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08F0"/>
    <w:rsid w:val="0078201E"/>
    <w:rsid w:val="007836F0"/>
    <w:rsid w:val="007863ED"/>
    <w:rsid w:val="00794784"/>
    <w:rsid w:val="00795B27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46FE"/>
    <w:rsid w:val="007E4FB2"/>
    <w:rsid w:val="007E578C"/>
    <w:rsid w:val="007E7143"/>
    <w:rsid w:val="007E7B97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1674D"/>
    <w:rsid w:val="00820A95"/>
    <w:rsid w:val="00825FDC"/>
    <w:rsid w:val="0084193F"/>
    <w:rsid w:val="008423F8"/>
    <w:rsid w:val="008438C0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2B18"/>
    <w:rsid w:val="00867F15"/>
    <w:rsid w:val="00871213"/>
    <w:rsid w:val="00871BC5"/>
    <w:rsid w:val="008726CE"/>
    <w:rsid w:val="00874C06"/>
    <w:rsid w:val="00887FF0"/>
    <w:rsid w:val="00890455"/>
    <w:rsid w:val="008928D8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A747B"/>
    <w:rsid w:val="008B0627"/>
    <w:rsid w:val="008B0B11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42D4"/>
    <w:rsid w:val="008F4CA9"/>
    <w:rsid w:val="008F5B9F"/>
    <w:rsid w:val="008F7229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5715B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652"/>
    <w:rsid w:val="00A528C9"/>
    <w:rsid w:val="00A5571A"/>
    <w:rsid w:val="00A55E53"/>
    <w:rsid w:val="00A56D56"/>
    <w:rsid w:val="00A5757F"/>
    <w:rsid w:val="00A611BD"/>
    <w:rsid w:val="00A631DE"/>
    <w:rsid w:val="00A6411A"/>
    <w:rsid w:val="00A665BB"/>
    <w:rsid w:val="00A66C2E"/>
    <w:rsid w:val="00A67147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793A"/>
    <w:rsid w:val="00AA24DA"/>
    <w:rsid w:val="00AA621F"/>
    <w:rsid w:val="00AA7B51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28BD"/>
    <w:rsid w:val="00AF5C9E"/>
    <w:rsid w:val="00AF679F"/>
    <w:rsid w:val="00B0612F"/>
    <w:rsid w:val="00B10C8D"/>
    <w:rsid w:val="00B12DB6"/>
    <w:rsid w:val="00B14367"/>
    <w:rsid w:val="00B15457"/>
    <w:rsid w:val="00B160FA"/>
    <w:rsid w:val="00B16F17"/>
    <w:rsid w:val="00B203BF"/>
    <w:rsid w:val="00B210BF"/>
    <w:rsid w:val="00B21B71"/>
    <w:rsid w:val="00B23A0C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96948"/>
    <w:rsid w:val="00BA0815"/>
    <w:rsid w:val="00BA0935"/>
    <w:rsid w:val="00BA5B14"/>
    <w:rsid w:val="00BA5C65"/>
    <w:rsid w:val="00BA747A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985"/>
    <w:rsid w:val="00BE3C09"/>
    <w:rsid w:val="00BE4410"/>
    <w:rsid w:val="00BE61CD"/>
    <w:rsid w:val="00BE664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025C"/>
    <w:rsid w:val="00C2120C"/>
    <w:rsid w:val="00C27AB8"/>
    <w:rsid w:val="00C312C9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4FCB"/>
    <w:rsid w:val="00C814D7"/>
    <w:rsid w:val="00C8477A"/>
    <w:rsid w:val="00C85551"/>
    <w:rsid w:val="00C86527"/>
    <w:rsid w:val="00C87B7E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C36CB"/>
    <w:rsid w:val="00CD616D"/>
    <w:rsid w:val="00CD7E31"/>
    <w:rsid w:val="00CE2544"/>
    <w:rsid w:val="00CE2706"/>
    <w:rsid w:val="00CE3CC1"/>
    <w:rsid w:val="00CE4D4E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40D9B"/>
    <w:rsid w:val="00D60769"/>
    <w:rsid w:val="00D7001B"/>
    <w:rsid w:val="00D76152"/>
    <w:rsid w:val="00D7627D"/>
    <w:rsid w:val="00D76382"/>
    <w:rsid w:val="00D76AB8"/>
    <w:rsid w:val="00D77428"/>
    <w:rsid w:val="00D91DD0"/>
    <w:rsid w:val="00D976D0"/>
    <w:rsid w:val="00DA1223"/>
    <w:rsid w:val="00DA3CA4"/>
    <w:rsid w:val="00DA3D20"/>
    <w:rsid w:val="00DA5C5E"/>
    <w:rsid w:val="00DA65F4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52F0"/>
    <w:rsid w:val="00DE68F6"/>
    <w:rsid w:val="00DE72B2"/>
    <w:rsid w:val="00DF117A"/>
    <w:rsid w:val="00DF7FF5"/>
    <w:rsid w:val="00E01691"/>
    <w:rsid w:val="00E02185"/>
    <w:rsid w:val="00E032B9"/>
    <w:rsid w:val="00E11D51"/>
    <w:rsid w:val="00E15421"/>
    <w:rsid w:val="00E23DCD"/>
    <w:rsid w:val="00E252EC"/>
    <w:rsid w:val="00E26A97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21B2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25B3"/>
    <w:rsid w:val="00EC29CF"/>
    <w:rsid w:val="00EC4A9D"/>
    <w:rsid w:val="00EC75F7"/>
    <w:rsid w:val="00EC7639"/>
    <w:rsid w:val="00ED18AF"/>
    <w:rsid w:val="00ED6233"/>
    <w:rsid w:val="00ED7A1C"/>
    <w:rsid w:val="00EE121B"/>
    <w:rsid w:val="00EE17F1"/>
    <w:rsid w:val="00EE3C11"/>
    <w:rsid w:val="00EE4DFE"/>
    <w:rsid w:val="00EE542E"/>
    <w:rsid w:val="00EE6F3E"/>
    <w:rsid w:val="00EF062E"/>
    <w:rsid w:val="00EF0CDA"/>
    <w:rsid w:val="00EF20B2"/>
    <w:rsid w:val="00EF650A"/>
    <w:rsid w:val="00EF79CA"/>
    <w:rsid w:val="00F00E93"/>
    <w:rsid w:val="00F16A46"/>
    <w:rsid w:val="00F20415"/>
    <w:rsid w:val="00F2083F"/>
    <w:rsid w:val="00F20F0D"/>
    <w:rsid w:val="00F2346B"/>
    <w:rsid w:val="00F234AC"/>
    <w:rsid w:val="00F253DF"/>
    <w:rsid w:val="00F26914"/>
    <w:rsid w:val="00F315FC"/>
    <w:rsid w:val="00F31D8E"/>
    <w:rsid w:val="00F33620"/>
    <w:rsid w:val="00F34997"/>
    <w:rsid w:val="00F400CC"/>
    <w:rsid w:val="00F402FC"/>
    <w:rsid w:val="00F408CE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6C9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033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e">
    <w:name w:val="Title"/>
    <w:basedOn w:val="a"/>
    <w:link w:val="af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0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1">
    <w:name w:val="header"/>
    <w:basedOn w:val="a"/>
    <w:link w:val="af2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6">
    <w:name w:val="Normal (Web)"/>
    <w:basedOn w:val="a"/>
    <w:rsid w:val="001C0C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A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C3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CC3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CC3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7">
    <w:name w:val="Основной текст_"/>
    <w:link w:val="10"/>
    <w:rsid w:val="00CC36CB"/>
    <w:rPr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CC36CB"/>
    <w:rPr>
      <w:sz w:val="208"/>
      <w:szCs w:val="208"/>
      <w:shd w:val="clear" w:color="auto" w:fill="FFFFFF"/>
    </w:rPr>
  </w:style>
  <w:style w:type="character" w:customStyle="1" w:styleId="135pt1pt">
    <w:name w:val="Основной текст + 13;5 pt;Интервал 1 pt"/>
    <w:rsid w:val="00CC3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10">
    <w:name w:val="Основной текст1"/>
    <w:basedOn w:val="a"/>
    <w:link w:val="af7"/>
    <w:rsid w:val="00CC36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CC36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ab">
    <w:name w:val="Без интервала Знак"/>
    <w:link w:val="aa"/>
    <w:rsid w:val="00CC36CB"/>
    <w:rPr>
      <w:rFonts w:ascii="Calibri" w:eastAsia="Times New Roman" w:hAnsi="Calibri" w:cs="Times New Roman"/>
      <w:lang w:eastAsia="ru-RU"/>
    </w:rPr>
  </w:style>
  <w:style w:type="paragraph" w:customStyle="1" w:styleId="p12">
    <w:name w:val="p12"/>
    <w:basedOn w:val="a"/>
    <w:rsid w:val="00CC36CB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CC36CB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CC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e">
    <w:name w:val="Title"/>
    <w:basedOn w:val="a"/>
    <w:link w:val="af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0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1">
    <w:name w:val="header"/>
    <w:basedOn w:val="a"/>
    <w:link w:val="af2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6">
    <w:name w:val="Normal (Web)"/>
    <w:basedOn w:val="a"/>
    <w:rsid w:val="001C0C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A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C3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CC3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CC3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7">
    <w:name w:val="Основной текст_"/>
    <w:link w:val="10"/>
    <w:rsid w:val="00CC36CB"/>
    <w:rPr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CC36CB"/>
    <w:rPr>
      <w:sz w:val="208"/>
      <w:szCs w:val="208"/>
      <w:shd w:val="clear" w:color="auto" w:fill="FFFFFF"/>
    </w:rPr>
  </w:style>
  <w:style w:type="character" w:customStyle="1" w:styleId="135pt1pt">
    <w:name w:val="Основной текст + 13;5 pt;Интервал 1 pt"/>
    <w:rsid w:val="00CC3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10">
    <w:name w:val="Основной текст1"/>
    <w:basedOn w:val="a"/>
    <w:link w:val="af7"/>
    <w:rsid w:val="00CC36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CC36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ab">
    <w:name w:val="Без интервала Знак"/>
    <w:link w:val="aa"/>
    <w:rsid w:val="00CC36CB"/>
    <w:rPr>
      <w:rFonts w:ascii="Calibri" w:eastAsia="Times New Roman" w:hAnsi="Calibri" w:cs="Times New Roman"/>
      <w:lang w:eastAsia="ru-RU"/>
    </w:rPr>
  </w:style>
  <w:style w:type="paragraph" w:customStyle="1" w:styleId="p12">
    <w:name w:val="p12"/>
    <w:basedOn w:val="a"/>
    <w:rsid w:val="00CC36CB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CC36CB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CC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17DD-3BF2-4BEA-976A-32A0E0C1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UserZhKH</cp:lastModifiedBy>
  <cp:revision>3</cp:revision>
  <cp:lastPrinted>2021-03-17T07:06:00Z</cp:lastPrinted>
  <dcterms:created xsi:type="dcterms:W3CDTF">2021-06-22T08:15:00Z</dcterms:created>
  <dcterms:modified xsi:type="dcterms:W3CDTF">2021-06-22T08:15:00Z</dcterms:modified>
</cp:coreProperties>
</file>