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E63" w:rsidRPr="009B507B" w:rsidRDefault="00B42E63" w:rsidP="004573EE">
      <w:pPr>
        <w:ind w:firstLine="360"/>
        <w:jc w:val="center"/>
        <w:rPr>
          <w:rFonts w:ascii="Times New Roman" w:hAnsi="Times New Roman" w:cs="Times New Roman"/>
        </w:rPr>
      </w:pPr>
      <w:r w:rsidRPr="009B507B">
        <w:rPr>
          <w:rFonts w:ascii="Times New Roman" w:hAnsi="Times New Roman" w:cs="Times New Roman"/>
          <w:b/>
        </w:rPr>
        <w:t xml:space="preserve">Информация Управления Федеральной службы по надзору в сфере защиты прав потребителей и благополучия человека по Новгородской области в Старорусском районе о состоянии водоснабжения на территории </w:t>
      </w:r>
      <w:proofErr w:type="spellStart"/>
      <w:r w:rsidRPr="009B507B">
        <w:rPr>
          <w:rFonts w:ascii="Times New Roman" w:hAnsi="Times New Roman" w:cs="Times New Roman"/>
          <w:b/>
        </w:rPr>
        <w:t>Солецкого</w:t>
      </w:r>
      <w:proofErr w:type="spellEnd"/>
      <w:r w:rsidRPr="009B507B">
        <w:rPr>
          <w:rFonts w:ascii="Times New Roman" w:hAnsi="Times New Roman" w:cs="Times New Roman"/>
          <w:b/>
        </w:rPr>
        <w:t xml:space="preserve"> муниципального района</w:t>
      </w:r>
    </w:p>
    <w:p w:rsidR="00B42E63" w:rsidRPr="009B507B" w:rsidRDefault="00B42E63" w:rsidP="009B507B">
      <w:pPr>
        <w:ind w:firstLine="360"/>
        <w:jc w:val="both"/>
        <w:rPr>
          <w:rFonts w:ascii="Times New Roman" w:hAnsi="Times New Roman" w:cs="Times New Roman"/>
        </w:rPr>
      </w:pPr>
      <w:r w:rsidRPr="009B507B">
        <w:rPr>
          <w:rFonts w:ascii="Times New Roman" w:hAnsi="Times New Roman" w:cs="Times New Roman"/>
        </w:rPr>
        <w:t>К одним из актуальнейших вопросов, определяющих здоровье человека, относится качество питьевой воды.</w:t>
      </w:r>
    </w:p>
    <w:p w:rsidR="00B42E63" w:rsidRPr="009B507B" w:rsidRDefault="00B42E63" w:rsidP="009B507B">
      <w:pPr>
        <w:ind w:firstLine="360"/>
        <w:jc w:val="both"/>
        <w:rPr>
          <w:rFonts w:ascii="Times New Roman" w:hAnsi="Times New Roman" w:cs="Times New Roman"/>
        </w:rPr>
      </w:pPr>
      <w:r w:rsidRPr="009B507B">
        <w:rPr>
          <w:rFonts w:ascii="Times New Roman" w:hAnsi="Times New Roman" w:cs="Times New Roman"/>
        </w:rPr>
        <w:t xml:space="preserve">Централизованное водоснабжение населения </w:t>
      </w:r>
      <w:proofErr w:type="spellStart"/>
      <w:r w:rsidRPr="009B507B">
        <w:rPr>
          <w:rFonts w:ascii="Times New Roman" w:hAnsi="Times New Roman" w:cs="Times New Roman"/>
        </w:rPr>
        <w:t>Солецкого</w:t>
      </w:r>
      <w:proofErr w:type="spellEnd"/>
      <w:r w:rsidRPr="009B507B">
        <w:rPr>
          <w:rFonts w:ascii="Times New Roman" w:hAnsi="Times New Roman" w:cs="Times New Roman"/>
        </w:rPr>
        <w:t xml:space="preserve"> района осуществляется из водопроводных сооружений обслуживаемых МУП «ЖКХ </w:t>
      </w:r>
      <w:proofErr w:type="spellStart"/>
      <w:r w:rsidRPr="009B507B">
        <w:rPr>
          <w:rFonts w:ascii="Times New Roman" w:hAnsi="Times New Roman" w:cs="Times New Roman"/>
        </w:rPr>
        <w:t>Солецкого</w:t>
      </w:r>
      <w:proofErr w:type="spellEnd"/>
      <w:r w:rsidRPr="009B507B">
        <w:rPr>
          <w:rFonts w:ascii="Times New Roman" w:hAnsi="Times New Roman" w:cs="Times New Roman"/>
        </w:rPr>
        <w:t xml:space="preserve"> района». В качестве </w:t>
      </w:r>
      <w:proofErr w:type="spellStart"/>
      <w:r w:rsidRPr="009B507B">
        <w:rPr>
          <w:rFonts w:ascii="Times New Roman" w:hAnsi="Times New Roman" w:cs="Times New Roman"/>
        </w:rPr>
        <w:t>водоисточника</w:t>
      </w:r>
      <w:proofErr w:type="spellEnd"/>
      <w:r w:rsidRPr="009B507B">
        <w:rPr>
          <w:rFonts w:ascii="Times New Roman" w:hAnsi="Times New Roman" w:cs="Times New Roman"/>
        </w:rPr>
        <w:t xml:space="preserve"> используются 1 </w:t>
      </w:r>
      <w:proofErr w:type="gramStart"/>
      <w:r w:rsidRPr="009B507B">
        <w:rPr>
          <w:rFonts w:ascii="Times New Roman" w:hAnsi="Times New Roman" w:cs="Times New Roman"/>
        </w:rPr>
        <w:t>поверхностный</w:t>
      </w:r>
      <w:proofErr w:type="gramEnd"/>
      <w:r w:rsidRPr="009B507B">
        <w:rPr>
          <w:rFonts w:ascii="Times New Roman" w:hAnsi="Times New Roman" w:cs="Times New Roman"/>
        </w:rPr>
        <w:t xml:space="preserve"> и 6 подземных источников (скважин).</w:t>
      </w:r>
    </w:p>
    <w:p w:rsidR="00B42E63" w:rsidRPr="009B507B" w:rsidRDefault="00B42E63" w:rsidP="009B507B">
      <w:pPr>
        <w:ind w:firstLine="360"/>
        <w:jc w:val="both"/>
        <w:rPr>
          <w:rFonts w:ascii="Times New Roman" w:hAnsi="Times New Roman" w:cs="Times New Roman"/>
        </w:rPr>
      </w:pPr>
      <w:r w:rsidRPr="009B507B">
        <w:rPr>
          <w:rFonts w:ascii="Times New Roman" w:hAnsi="Times New Roman" w:cs="Times New Roman"/>
        </w:rPr>
        <w:t>Для обеспечения санитарно-эпидемиологической надёжности водопроводов хозяйственно-питьевого назначения должны предусматриваться зоны санитарной охраны, куда входят зона источника водоснабжения в месте забора воды, зона и санитарно-защитная полоса водопроводных сооружений и санитарно-защитная полоса водоводов.</w:t>
      </w:r>
    </w:p>
    <w:p w:rsidR="00B42E63" w:rsidRPr="009B507B" w:rsidRDefault="00B42E63" w:rsidP="009B507B">
      <w:pPr>
        <w:ind w:firstLine="360"/>
        <w:jc w:val="both"/>
        <w:rPr>
          <w:rFonts w:ascii="Times New Roman" w:hAnsi="Times New Roman" w:cs="Times New Roman"/>
        </w:rPr>
      </w:pPr>
      <w:r w:rsidRPr="009B507B">
        <w:rPr>
          <w:rFonts w:ascii="Times New Roman" w:hAnsi="Times New Roman" w:cs="Times New Roman"/>
        </w:rPr>
        <w:t xml:space="preserve">Всё это регламентируется </w:t>
      </w:r>
      <w:proofErr w:type="spellStart"/>
      <w:r w:rsidRPr="009B507B">
        <w:rPr>
          <w:rFonts w:ascii="Times New Roman" w:hAnsi="Times New Roman" w:cs="Times New Roman"/>
        </w:rPr>
        <w:t>СанПиН</w:t>
      </w:r>
      <w:proofErr w:type="spellEnd"/>
      <w:r w:rsidRPr="009B507B">
        <w:rPr>
          <w:rFonts w:ascii="Times New Roman" w:hAnsi="Times New Roman" w:cs="Times New Roman"/>
        </w:rPr>
        <w:t xml:space="preserve"> 2.1.4.1110-02 «Зоны санитарной охраны источников водоснабжения и водопроводов питьевого назначения». Пункты 1.6, 1.11, 1.12 настоящего документа говорят о необходимости разработки проекта ЗСО для всех действующих и проектируемых водопроводов. Проектом зон санитарной охраны водопровода регламентированы: границы поясов зоны </w:t>
      </w:r>
      <w:proofErr w:type="spellStart"/>
      <w:r w:rsidRPr="009B507B">
        <w:rPr>
          <w:rFonts w:ascii="Times New Roman" w:hAnsi="Times New Roman" w:cs="Times New Roman"/>
        </w:rPr>
        <w:t>водоисточника</w:t>
      </w:r>
      <w:proofErr w:type="spellEnd"/>
      <w:r w:rsidRPr="009B507B">
        <w:rPr>
          <w:rFonts w:ascii="Times New Roman" w:hAnsi="Times New Roman" w:cs="Times New Roman"/>
        </w:rPr>
        <w:t>, зоны и санитарно-защитные полосы водопроводных сооружений и полосы водоводов; определены инженерные мероприятия по организации зон и дано описание санитарного режима в зонах и полосах. В основу проекта ЗСО водопровода должны быть положены результаты санитарно-топографического обследования территорий, намеченных к включению в зоны и защитные полосы, а</w:t>
      </w:r>
    </w:p>
    <w:p w:rsidR="00B42E63" w:rsidRPr="009B507B" w:rsidRDefault="00B42E63" w:rsidP="009B507B">
      <w:pPr>
        <w:spacing w:line="306" w:lineRule="exact"/>
        <w:jc w:val="both"/>
        <w:rPr>
          <w:rFonts w:ascii="Times New Roman" w:hAnsi="Times New Roman" w:cs="Times New Roman"/>
        </w:rPr>
      </w:pPr>
      <w:r w:rsidRPr="009B507B">
        <w:rPr>
          <w:rFonts w:ascii="Times New Roman" w:hAnsi="Times New Roman" w:cs="Times New Roman"/>
        </w:rPr>
        <w:t>также материалы инженерно-геологических, топографических, гидрологических и гидрогеологических изысканий,</w:t>
      </w:r>
    </w:p>
    <w:p w:rsidR="00B42E63" w:rsidRPr="009B507B" w:rsidRDefault="00B42E63" w:rsidP="009B507B">
      <w:pPr>
        <w:spacing w:line="306" w:lineRule="exact"/>
        <w:ind w:firstLine="360"/>
        <w:jc w:val="both"/>
        <w:rPr>
          <w:rFonts w:ascii="Times New Roman" w:hAnsi="Times New Roman" w:cs="Times New Roman"/>
        </w:rPr>
      </w:pPr>
      <w:r w:rsidRPr="009B507B">
        <w:rPr>
          <w:rFonts w:ascii="Times New Roman" w:hAnsi="Times New Roman" w:cs="Times New Roman"/>
        </w:rPr>
        <w:t>Отсутствие мероприятий, а также ведение хозяйственной деятельности в зоне санитарной охраны является грубым нарушением требований вышеуказанных санитарных правил.</w:t>
      </w:r>
    </w:p>
    <w:p w:rsidR="00B42E63" w:rsidRPr="009B507B" w:rsidRDefault="00B42E63" w:rsidP="009B507B">
      <w:pPr>
        <w:tabs>
          <w:tab w:val="left" w:pos="5216"/>
        </w:tabs>
        <w:spacing w:line="306" w:lineRule="exact"/>
        <w:ind w:firstLine="360"/>
        <w:jc w:val="both"/>
        <w:rPr>
          <w:rFonts w:ascii="Times New Roman" w:hAnsi="Times New Roman" w:cs="Times New Roman"/>
        </w:rPr>
      </w:pPr>
      <w:r w:rsidRPr="009B507B">
        <w:rPr>
          <w:rFonts w:ascii="Times New Roman" w:hAnsi="Times New Roman" w:cs="Times New Roman"/>
        </w:rPr>
        <w:t>В целом по району централизованным водоснабжением пользуется около 83% населения района, около 17% используют воду колодцев</w:t>
      </w:r>
      <w:r w:rsidR="009B507B" w:rsidRPr="009B507B">
        <w:rPr>
          <w:rFonts w:ascii="Times New Roman" w:hAnsi="Times New Roman" w:cs="Times New Roman"/>
        </w:rPr>
        <w:t xml:space="preserve"> (</w:t>
      </w:r>
      <w:r w:rsidRPr="009B507B">
        <w:rPr>
          <w:rFonts w:ascii="Times New Roman" w:hAnsi="Times New Roman" w:cs="Times New Roman"/>
        </w:rPr>
        <w:t>нецентрализованное водоснабжение)</w:t>
      </w:r>
    </w:p>
    <w:p w:rsidR="00B42E63" w:rsidRPr="009B507B" w:rsidRDefault="00B42E63" w:rsidP="009B507B">
      <w:pPr>
        <w:tabs>
          <w:tab w:val="left" w:leader="underscore" w:pos="6080"/>
          <w:tab w:val="left" w:leader="underscore" w:pos="9446"/>
        </w:tabs>
        <w:jc w:val="both"/>
        <w:rPr>
          <w:rFonts w:ascii="Times New Roman" w:hAnsi="Times New Roman" w:cs="Times New Roman"/>
        </w:rPr>
      </w:pPr>
      <w:r w:rsidRPr="009B507B">
        <w:rPr>
          <w:rFonts w:ascii="Times New Roman" w:hAnsi="Times New Roman" w:cs="Times New Roman"/>
        </w:rPr>
        <w:t xml:space="preserve">Результаты государственного надзора за централизованным и </w:t>
      </w:r>
      <w:r w:rsidRPr="009B507B">
        <w:rPr>
          <w:rStyle w:val="a3"/>
          <w:rFonts w:eastAsia="Arial Unicode MS"/>
          <w:sz w:val="24"/>
          <w:szCs w:val="24"/>
        </w:rPr>
        <w:t>нецентрализованным водоснабжением:</w:t>
      </w:r>
    </w:p>
    <w:tbl>
      <w:tblPr>
        <w:tblOverlap w:val="never"/>
        <w:tblW w:w="9933" w:type="dxa"/>
        <w:tblLayout w:type="fixed"/>
        <w:tblCellMar>
          <w:left w:w="10" w:type="dxa"/>
          <w:right w:w="10" w:type="dxa"/>
        </w:tblCellMar>
        <w:tblLook w:val="0000"/>
      </w:tblPr>
      <w:tblGrid>
        <w:gridCol w:w="2278"/>
        <w:gridCol w:w="2086"/>
        <w:gridCol w:w="1883"/>
        <w:gridCol w:w="1851"/>
        <w:gridCol w:w="1835"/>
      </w:tblGrid>
      <w:tr w:rsidR="00B42E63" w:rsidRPr="009B507B" w:rsidTr="004573EE">
        <w:trPr>
          <w:trHeight w:val="644"/>
        </w:trPr>
        <w:tc>
          <w:tcPr>
            <w:tcW w:w="2278" w:type="dxa"/>
            <w:vMerge w:val="restart"/>
            <w:tcBorders>
              <w:top w:val="single" w:sz="4" w:space="0" w:color="auto"/>
              <w:left w:val="single" w:sz="4" w:space="0" w:color="auto"/>
            </w:tcBorders>
            <w:shd w:val="clear" w:color="auto" w:fill="FFFFFF"/>
          </w:tcPr>
          <w:p w:rsidR="00B42E63" w:rsidRPr="009B507B" w:rsidRDefault="00B42E63" w:rsidP="009B507B">
            <w:pPr>
              <w:spacing w:line="260" w:lineRule="exact"/>
              <w:jc w:val="both"/>
              <w:rPr>
                <w:rFonts w:ascii="Times New Roman" w:hAnsi="Times New Roman" w:cs="Times New Roman"/>
              </w:rPr>
            </w:pPr>
            <w:r w:rsidRPr="009B507B">
              <w:rPr>
                <w:rStyle w:val="20"/>
                <w:rFonts w:eastAsia="Palatino Linotype"/>
                <w:sz w:val="24"/>
                <w:szCs w:val="24"/>
              </w:rPr>
              <w:t>Объекты</w:t>
            </w:r>
          </w:p>
          <w:p w:rsidR="00B42E63" w:rsidRPr="009B507B" w:rsidRDefault="00B42E63" w:rsidP="009B507B">
            <w:pPr>
              <w:spacing w:line="260" w:lineRule="exact"/>
              <w:jc w:val="both"/>
              <w:rPr>
                <w:rFonts w:ascii="Times New Roman" w:hAnsi="Times New Roman" w:cs="Times New Roman"/>
              </w:rPr>
            </w:pPr>
            <w:r w:rsidRPr="009B507B">
              <w:rPr>
                <w:rStyle w:val="20"/>
                <w:rFonts w:eastAsia="Palatino Linotype"/>
                <w:sz w:val="24"/>
                <w:szCs w:val="24"/>
              </w:rPr>
              <w:t>водоснабжения</w:t>
            </w:r>
          </w:p>
        </w:tc>
        <w:tc>
          <w:tcPr>
            <w:tcW w:w="3969" w:type="dxa"/>
            <w:gridSpan w:val="2"/>
            <w:tcBorders>
              <w:top w:val="single" w:sz="4" w:space="0" w:color="auto"/>
              <w:left w:val="single" w:sz="4" w:space="0" w:color="auto"/>
            </w:tcBorders>
            <w:shd w:val="clear" w:color="auto" w:fill="FFFFFF"/>
            <w:vAlign w:val="bottom"/>
          </w:tcPr>
          <w:p w:rsidR="00B42E63" w:rsidRPr="009B507B" w:rsidRDefault="00B42E63" w:rsidP="009B507B">
            <w:pPr>
              <w:spacing w:line="317" w:lineRule="exact"/>
              <w:jc w:val="both"/>
              <w:rPr>
                <w:rFonts w:ascii="Times New Roman" w:hAnsi="Times New Roman" w:cs="Times New Roman"/>
              </w:rPr>
            </w:pPr>
            <w:r w:rsidRPr="009B507B">
              <w:rPr>
                <w:rStyle w:val="20"/>
                <w:rFonts w:eastAsia="Palatino Linotype"/>
                <w:sz w:val="24"/>
                <w:szCs w:val="24"/>
              </w:rPr>
              <w:t>Санитарно-химические показатели *</w:t>
            </w:r>
          </w:p>
        </w:tc>
        <w:tc>
          <w:tcPr>
            <w:tcW w:w="3686" w:type="dxa"/>
            <w:gridSpan w:val="2"/>
            <w:tcBorders>
              <w:top w:val="single" w:sz="4" w:space="0" w:color="auto"/>
              <w:left w:val="single" w:sz="4" w:space="0" w:color="auto"/>
              <w:right w:val="single" w:sz="4" w:space="0" w:color="auto"/>
            </w:tcBorders>
            <w:shd w:val="clear" w:color="auto" w:fill="FFFFFF"/>
            <w:vAlign w:val="bottom"/>
          </w:tcPr>
          <w:p w:rsidR="00B42E63" w:rsidRPr="009B507B" w:rsidRDefault="00B42E63" w:rsidP="009B507B">
            <w:pPr>
              <w:spacing w:line="317" w:lineRule="exact"/>
              <w:jc w:val="both"/>
              <w:rPr>
                <w:rFonts w:ascii="Times New Roman" w:hAnsi="Times New Roman" w:cs="Times New Roman"/>
              </w:rPr>
            </w:pPr>
            <w:r w:rsidRPr="009B507B">
              <w:rPr>
                <w:rStyle w:val="20"/>
                <w:rFonts w:eastAsia="Palatino Linotype"/>
                <w:sz w:val="24"/>
                <w:szCs w:val="24"/>
              </w:rPr>
              <w:t>Микробиологические показатели *</w:t>
            </w:r>
          </w:p>
        </w:tc>
      </w:tr>
      <w:tr w:rsidR="00B42E63" w:rsidRPr="009B507B" w:rsidTr="004573EE">
        <w:trPr>
          <w:trHeight w:val="349"/>
        </w:trPr>
        <w:tc>
          <w:tcPr>
            <w:tcW w:w="2278" w:type="dxa"/>
            <w:vMerge/>
            <w:tcBorders>
              <w:left w:val="single" w:sz="4" w:space="0" w:color="auto"/>
            </w:tcBorders>
            <w:shd w:val="clear" w:color="auto" w:fill="FFFFFF"/>
          </w:tcPr>
          <w:p w:rsidR="00B42E63" w:rsidRPr="009B507B" w:rsidRDefault="00B42E63" w:rsidP="009B507B">
            <w:pPr>
              <w:jc w:val="both"/>
              <w:rPr>
                <w:rFonts w:ascii="Times New Roman" w:hAnsi="Times New Roman" w:cs="Times New Roman"/>
              </w:rPr>
            </w:pPr>
          </w:p>
        </w:tc>
        <w:tc>
          <w:tcPr>
            <w:tcW w:w="2086" w:type="dxa"/>
            <w:tcBorders>
              <w:top w:val="single" w:sz="4" w:space="0" w:color="auto"/>
              <w:left w:val="single" w:sz="4" w:space="0" w:color="auto"/>
            </w:tcBorders>
            <w:shd w:val="clear" w:color="auto" w:fill="FFFFFF"/>
            <w:vAlign w:val="bottom"/>
          </w:tcPr>
          <w:p w:rsidR="00B42E63" w:rsidRPr="009B507B" w:rsidRDefault="00B42E63" w:rsidP="004573EE">
            <w:pPr>
              <w:spacing w:line="260" w:lineRule="exact"/>
              <w:jc w:val="center"/>
              <w:rPr>
                <w:rFonts w:ascii="Times New Roman" w:hAnsi="Times New Roman" w:cs="Times New Roman"/>
              </w:rPr>
            </w:pPr>
            <w:r w:rsidRPr="009B507B">
              <w:rPr>
                <w:rStyle w:val="20"/>
                <w:rFonts w:eastAsia="Palatino Linotype"/>
                <w:sz w:val="24"/>
                <w:szCs w:val="24"/>
              </w:rPr>
              <w:t>2018</w:t>
            </w:r>
          </w:p>
        </w:tc>
        <w:tc>
          <w:tcPr>
            <w:tcW w:w="1883" w:type="dxa"/>
            <w:tcBorders>
              <w:top w:val="single" w:sz="4" w:space="0" w:color="auto"/>
              <w:left w:val="single" w:sz="4" w:space="0" w:color="auto"/>
            </w:tcBorders>
            <w:shd w:val="clear" w:color="auto" w:fill="FFFFFF"/>
            <w:vAlign w:val="center"/>
          </w:tcPr>
          <w:p w:rsidR="00B42E63" w:rsidRPr="009B507B" w:rsidRDefault="00B42E63" w:rsidP="004573EE">
            <w:pPr>
              <w:spacing w:line="260" w:lineRule="exact"/>
              <w:jc w:val="center"/>
              <w:rPr>
                <w:rFonts w:ascii="Times New Roman" w:hAnsi="Times New Roman" w:cs="Times New Roman"/>
              </w:rPr>
            </w:pPr>
            <w:r w:rsidRPr="009B507B">
              <w:rPr>
                <w:rStyle w:val="20"/>
                <w:rFonts w:eastAsia="Palatino Linotype"/>
                <w:sz w:val="24"/>
                <w:szCs w:val="24"/>
              </w:rPr>
              <w:t>2019</w:t>
            </w:r>
          </w:p>
        </w:tc>
        <w:tc>
          <w:tcPr>
            <w:tcW w:w="1851" w:type="dxa"/>
            <w:tcBorders>
              <w:top w:val="single" w:sz="4" w:space="0" w:color="auto"/>
              <w:left w:val="single" w:sz="4" w:space="0" w:color="auto"/>
            </w:tcBorders>
            <w:shd w:val="clear" w:color="auto" w:fill="FFFFFF"/>
            <w:vAlign w:val="bottom"/>
          </w:tcPr>
          <w:p w:rsidR="00B42E63" w:rsidRPr="009B507B" w:rsidRDefault="00B42E63" w:rsidP="004573EE">
            <w:pPr>
              <w:spacing w:line="260" w:lineRule="exact"/>
              <w:jc w:val="center"/>
              <w:rPr>
                <w:rFonts w:ascii="Times New Roman" w:hAnsi="Times New Roman" w:cs="Times New Roman"/>
              </w:rPr>
            </w:pPr>
            <w:r w:rsidRPr="009B507B">
              <w:rPr>
                <w:rStyle w:val="20"/>
                <w:rFonts w:eastAsia="Palatino Linotype"/>
                <w:sz w:val="24"/>
                <w:szCs w:val="24"/>
              </w:rPr>
              <w:t>2018</w:t>
            </w:r>
          </w:p>
        </w:tc>
        <w:tc>
          <w:tcPr>
            <w:tcW w:w="1835" w:type="dxa"/>
            <w:tcBorders>
              <w:top w:val="single" w:sz="4" w:space="0" w:color="auto"/>
              <w:left w:val="single" w:sz="4" w:space="0" w:color="auto"/>
              <w:right w:val="single" w:sz="4" w:space="0" w:color="auto"/>
            </w:tcBorders>
            <w:shd w:val="clear" w:color="auto" w:fill="FFFFFF"/>
            <w:vAlign w:val="center"/>
          </w:tcPr>
          <w:p w:rsidR="00B42E63" w:rsidRPr="009B507B" w:rsidRDefault="00B42E63" w:rsidP="004573EE">
            <w:pPr>
              <w:spacing w:line="260" w:lineRule="exact"/>
              <w:jc w:val="center"/>
              <w:rPr>
                <w:rFonts w:ascii="Times New Roman" w:hAnsi="Times New Roman" w:cs="Times New Roman"/>
              </w:rPr>
            </w:pPr>
            <w:r w:rsidRPr="009B507B">
              <w:rPr>
                <w:rStyle w:val="20"/>
                <w:rFonts w:eastAsia="Palatino Linotype"/>
                <w:sz w:val="24"/>
                <w:szCs w:val="24"/>
              </w:rPr>
              <w:t>2019</w:t>
            </w:r>
          </w:p>
        </w:tc>
      </w:tr>
      <w:tr w:rsidR="00B42E63" w:rsidRPr="009B507B" w:rsidTr="004573EE">
        <w:trPr>
          <w:trHeight w:val="932"/>
        </w:trPr>
        <w:tc>
          <w:tcPr>
            <w:tcW w:w="2278" w:type="dxa"/>
            <w:tcBorders>
              <w:top w:val="single" w:sz="4" w:space="0" w:color="auto"/>
              <w:left w:val="single" w:sz="4" w:space="0" w:color="auto"/>
              <w:bottom w:val="single" w:sz="4" w:space="0" w:color="auto"/>
            </w:tcBorders>
            <w:shd w:val="clear" w:color="auto" w:fill="FFFFFF"/>
            <w:vAlign w:val="bottom"/>
          </w:tcPr>
          <w:p w:rsidR="00B42E63" w:rsidRPr="009B507B" w:rsidRDefault="00B42E63" w:rsidP="009B507B">
            <w:pPr>
              <w:spacing w:line="302" w:lineRule="exact"/>
              <w:jc w:val="both"/>
              <w:rPr>
                <w:rFonts w:ascii="Times New Roman" w:hAnsi="Times New Roman" w:cs="Times New Roman"/>
              </w:rPr>
            </w:pPr>
            <w:r w:rsidRPr="009B507B">
              <w:rPr>
                <w:rStyle w:val="20"/>
                <w:rFonts w:eastAsia="Palatino Linotype"/>
                <w:sz w:val="24"/>
                <w:szCs w:val="24"/>
              </w:rPr>
              <w:t>Источники</w:t>
            </w:r>
          </w:p>
          <w:p w:rsidR="00B42E63" w:rsidRPr="009B507B" w:rsidRDefault="00B42E63" w:rsidP="009B507B">
            <w:pPr>
              <w:spacing w:line="302" w:lineRule="exact"/>
              <w:jc w:val="both"/>
              <w:rPr>
                <w:rFonts w:ascii="Times New Roman" w:hAnsi="Times New Roman" w:cs="Times New Roman"/>
              </w:rPr>
            </w:pPr>
            <w:r w:rsidRPr="009B507B">
              <w:rPr>
                <w:rStyle w:val="20"/>
                <w:rFonts w:eastAsia="Palatino Linotype"/>
                <w:sz w:val="24"/>
                <w:szCs w:val="24"/>
              </w:rPr>
              <w:t>централизованного</w:t>
            </w:r>
          </w:p>
          <w:p w:rsidR="00B42E63" w:rsidRPr="009B507B" w:rsidRDefault="00B42E63" w:rsidP="009B507B">
            <w:pPr>
              <w:spacing w:line="302" w:lineRule="exact"/>
              <w:jc w:val="both"/>
              <w:rPr>
                <w:rFonts w:ascii="Times New Roman" w:hAnsi="Times New Roman" w:cs="Times New Roman"/>
              </w:rPr>
            </w:pPr>
            <w:r w:rsidRPr="009B507B">
              <w:rPr>
                <w:rStyle w:val="20"/>
                <w:rFonts w:eastAsia="Palatino Linotype"/>
                <w:sz w:val="24"/>
                <w:szCs w:val="24"/>
              </w:rPr>
              <w:t>водоснабжения</w:t>
            </w:r>
          </w:p>
        </w:tc>
        <w:tc>
          <w:tcPr>
            <w:tcW w:w="2086" w:type="dxa"/>
            <w:tcBorders>
              <w:top w:val="single" w:sz="4" w:space="0" w:color="auto"/>
              <w:left w:val="single" w:sz="4" w:space="0" w:color="auto"/>
              <w:bottom w:val="single" w:sz="4" w:space="0" w:color="auto"/>
            </w:tcBorders>
            <w:shd w:val="clear" w:color="auto" w:fill="FFFFFF"/>
          </w:tcPr>
          <w:p w:rsidR="00B42E63" w:rsidRPr="009B507B" w:rsidRDefault="00B42E63" w:rsidP="004573EE">
            <w:pPr>
              <w:spacing w:line="260" w:lineRule="exact"/>
              <w:jc w:val="center"/>
              <w:rPr>
                <w:rFonts w:ascii="Times New Roman" w:hAnsi="Times New Roman" w:cs="Times New Roman"/>
              </w:rPr>
            </w:pPr>
            <w:r w:rsidRPr="009B507B">
              <w:rPr>
                <w:rStyle w:val="20"/>
                <w:rFonts w:eastAsia="Palatino Linotype"/>
                <w:sz w:val="24"/>
                <w:szCs w:val="24"/>
              </w:rPr>
              <w:t>75,9</w:t>
            </w:r>
          </w:p>
        </w:tc>
        <w:tc>
          <w:tcPr>
            <w:tcW w:w="1883" w:type="dxa"/>
            <w:tcBorders>
              <w:top w:val="single" w:sz="4" w:space="0" w:color="auto"/>
              <w:left w:val="single" w:sz="4" w:space="0" w:color="auto"/>
              <w:bottom w:val="single" w:sz="4" w:space="0" w:color="auto"/>
            </w:tcBorders>
            <w:shd w:val="clear" w:color="auto" w:fill="FFFFFF"/>
          </w:tcPr>
          <w:p w:rsidR="00B42E63" w:rsidRPr="009B507B" w:rsidRDefault="00B42E63" w:rsidP="004573EE">
            <w:pPr>
              <w:spacing w:line="260" w:lineRule="exact"/>
              <w:jc w:val="center"/>
              <w:rPr>
                <w:rFonts w:ascii="Times New Roman" w:hAnsi="Times New Roman" w:cs="Times New Roman"/>
              </w:rPr>
            </w:pPr>
            <w:r w:rsidRPr="009B507B">
              <w:rPr>
                <w:rStyle w:val="20"/>
                <w:rFonts w:eastAsia="Palatino Linotype"/>
                <w:sz w:val="24"/>
                <w:szCs w:val="24"/>
              </w:rPr>
              <w:t>81</w:t>
            </w:r>
          </w:p>
        </w:tc>
        <w:tc>
          <w:tcPr>
            <w:tcW w:w="1851" w:type="dxa"/>
            <w:tcBorders>
              <w:top w:val="single" w:sz="4" w:space="0" w:color="auto"/>
              <w:left w:val="single" w:sz="4" w:space="0" w:color="auto"/>
              <w:bottom w:val="single" w:sz="4" w:space="0" w:color="auto"/>
            </w:tcBorders>
            <w:shd w:val="clear" w:color="auto" w:fill="FFFFFF"/>
          </w:tcPr>
          <w:p w:rsidR="00B42E63" w:rsidRPr="009B507B" w:rsidRDefault="00B42E63" w:rsidP="004573EE">
            <w:pPr>
              <w:spacing w:line="260" w:lineRule="exact"/>
              <w:jc w:val="center"/>
              <w:rPr>
                <w:rFonts w:ascii="Times New Roman" w:hAnsi="Times New Roman" w:cs="Times New Roman"/>
              </w:rPr>
            </w:pPr>
            <w:r w:rsidRPr="009B507B">
              <w:rPr>
                <w:rStyle w:val="20"/>
                <w:rFonts w:eastAsia="Palatino Linotype"/>
                <w:sz w:val="24"/>
                <w:szCs w:val="24"/>
              </w:rPr>
              <w:t>11,2</w:t>
            </w:r>
          </w:p>
        </w:tc>
        <w:tc>
          <w:tcPr>
            <w:tcW w:w="1835" w:type="dxa"/>
            <w:tcBorders>
              <w:top w:val="single" w:sz="4" w:space="0" w:color="auto"/>
              <w:left w:val="single" w:sz="4" w:space="0" w:color="auto"/>
              <w:bottom w:val="single" w:sz="4" w:space="0" w:color="auto"/>
              <w:right w:val="single" w:sz="4" w:space="0" w:color="auto"/>
            </w:tcBorders>
            <w:shd w:val="clear" w:color="auto" w:fill="FFFFFF"/>
          </w:tcPr>
          <w:p w:rsidR="00B42E63" w:rsidRPr="009B507B" w:rsidRDefault="00B42E63" w:rsidP="004573EE">
            <w:pPr>
              <w:spacing w:line="260" w:lineRule="exact"/>
              <w:jc w:val="center"/>
              <w:rPr>
                <w:rFonts w:ascii="Times New Roman" w:hAnsi="Times New Roman" w:cs="Times New Roman"/>
              </w:rPr>
            </w:pPr>
            <w:r w:rsidRPr="009B507B">
              <w:rPr>
                <w:rStyle w:val="20"/>
                <w:rFonts w:eastAsia="Palatino Linotype"/>
                <w:sz w:val="24"/>
                <w:szCs w:val="24"/>
              </w:rPr>
              <w:t>4,2</w:t>
            </w:r>
          </w:p>
        </w:tc>
      </w:tr>
    </w:tbl>
    <w:p w:rsidR="00B42E63" w:rsidRDefault="00B42E63" w:rsidP="009B507B">
      <w:pPr>
        <w:spacing w:line="260" w:lineRule="exact"/>
        <w:jc w:val="both"/>
        <w:rPr>
          <w:rFonts w:ascii="Times New Roman" w:hAnsi="Times New Roman" w:cs="Times New Roman"/>
        </w:rPr>
      </w:pPr>
      <w:r w:rsidRPr="009B507B">
        <w:rPr>
          <w:rFonts w:ascii="Times New Roman" w:hAnsi="Times New Roman" w:cs="Times New Roman"/>
        </w:rPr>
        <w:t>*-процент проб, несоответствующих нормативным значениям</w:t>
      </w:r>
    </w:p>
    <w:p w:rsidR="004573EE" w:rsidRPr="009B507B" w:rsidRDefault="004573EE" w:rsidP="009B507B">
      <w:pPr>
        <w:spacing w:line="260" w:lineRule="exact"/>
        <w:jc w:val="both"/>
        <w:rPr>
          <w:rFonts w:ascii="Times New Roman" w:hAnsi="Times New Roman" w:cs="Times New Roman"/>
        </w:rPr>
      </w:pPr>
    </w:p>
    <w:p w:rsidR="00B42E63" w:rsidRPr="009B507B" w:rsidRDefault="00B42E63" w:rsidP="009B507B">
      <w:pPr>
        <w:ind w:firstLine="360"/>
        <w:jc w:val="both"/>
        <w:rPr>
          <w:rFonts w:ascii="Times New Roman" w:hAnsi="Times New Roman" w:cs="Times New Roman"/>
        </w:rPr>
      </w:pPr>
      <w:r w:rsidRPr="009B507B">
        <w:rPr>
          <w:rFonts w:ascii="Times New Roman" w:hAnsi="Times New Roman" w:cs="Times New Roman"/>
        </w:rPr>
        <w:t>На протяжении нескольких лет остается достаточно высоким уровень удельного веса проб, не отвечающих требованиям санитарного законодательства по микробиологическим и санитарно-гигиеническим показателям.</w:t>
      </w:r>
    </w:p>
    <w:p w:rsidR="00B42E63" w:rsidRPr="009B507B" w:rsidRDefault="00B42E63" w:rsidP="009B507B">
      <w:pPr>
        <w:ind w:firstLine="360"/>
        <w:jc w:val="both"/>
        <w:rPr>
          <w:rFonts w:ascii="Times New Roman" w:hAnsi="Times New Roman" w:cs="Times New Roman"/>
        </w:rPr>
      </w:pPr>
      <w:r w:rsidRPr="009B507B">
        <w:rPr>
          <w:rFonts w:ascii="Times New Roman" w:hAnsi="Times New Roman" w:cs="Times New Roman"/>
        </w:rPr>
        <w:t>Такое положение с качеством питьевой воды может способствовать развитию инфекционных и неинфекционных заболеваний.</w:t>
      </w:r>
    </w:p>
    <w:p w:rsidR="00B42E63" w:rsidRPr="009B507B" w:rsidRDefault="00B42E63" w:rsidP="009B507B">
      <w:pPr>
        <w:ind w:firstLine="360"/>
        <w:jc w:val="both"/>
        <w:rPr>
          <w:rFonts w:ascii="Times New Roman" w:hAnsi="Times New Roman" w:cs="Times New Roman"/>
        </w:rPr>
      </w:pPr>
      <w:r w:rsidRPr="009B507B">
        <w:rPr>
          <w:rFonts w:ascii="Times New Roman" w:hAnsi="Times New Roman" w:cs="Times New Roman"/>
        </w:rPr>
        <w:t>В значительной степени на качество питьевой воды влияет высокая изношенность водопроводных сетей, низкое качество водоподготовки.</w:t>
      </w:r>
    </w:p>
    <w:p w:rsidR="00B42E63" w:rsidRPr="009B507B" w:rsidRDefault="00B42E63" w:rsidP="009B507B">
      <w:pPr>
        <w:spacing w:line="299" w:lineRule="exact"/>
        <w:jc w:val="both"/>
        <w:rPr>
          <w:rFonts w:ascii="Times New Roman" w:hAnsi="Times New Roman" w:cs="Times New Roman"/>
        </w:rPr>
      </w:pPr>
      <w:r w:rsidRPr="009B507B">
        <w:rPr>
          <w:rStyle w:val="a3"/>
          <w:rFonts w:eastAsia="Arial Unicode MS"/>
          <w:sz w:val="24"/>
          <w:szCs w:val="24"/>
        </w:rPr>
        <w:t xml:space="preserve">В адрес МУП «ЖКХ </w:t>
      </w:r>
      <w:proofErr w:type="spellStart"/>
      <w:r w:rsidRPr="009B507B">
        <w:rPr>
          <w:rStyle w:val="a3"/>
          <w:rFonts w:eastAsia="Arial Unicode MS"/>
          <w:sz w:val="24"/>
          <w:szCs w:val="24"/>
        </w:rPr>
        <w:t>Солецкого</w:t>
      </w:r>
      <w:proofErr w:type="spellEnd"/>
      <w:r w:rsidRPr="009B507B">
        <w:rPr>
          <w:rStyle w:val="a3"/>
          <w:rFonts w:eastAsia="Arial Unicode MS"/>
          <w:sz w:val="24"/>
          <w:szCs w:val="24"/>
        </w:rPr>
        <w:t xml:space="preserve"> района» выдано предписание об устранении выявленных нарушений и принятии мер по улучшению качества питьевой воды, по </w:t>
      </w:r>
      <w:r w:rsidRPr="009B507B">
        <w:rPr>
          <w:rStyle w:val="a3"/>
          <w:rFonts w:eastAsia="Verdana"/>
          <w:sz w:val="24"/>
          <w:szCs w:val="24"/>
        </w:rPr>
        <w:t xml:space="preserve">решению </w:t>
      </w:r>
      <w:proofErr w:type="spellStart"/>
      <w:r w:rsidRPr="009B507B">
        <w:rPr>
          <w:rStyle w:val="a3"/>
          <w:rFonts w:eastAsia="Verdana"/>
          <w:sz w:val="24"/>
          <w:szCs w:val="24"/>
        </w:rPr>
        <w:lastRenderedPageBreak/>
        <w:t>Солецкого</w:t>
      </w:r>
      <w:proofErr w:type="spellEnd"/>
      <w:r w:rsidRPr="009B507B">
        <w:rPr>
          <w:rStyle w:val="a3"/>
          <w:rFonts w:eastAsia="Verdana"/>
          <w:sz w:val="24"/>
          <w:szCs w:val="24"/>
        </w:rPr>
        <w:t xml:space="preserve"> районного суда срок исполнения перенесен до 31.12.2020г.</w:t>
      </w:r>
    </w:p>
    <w:tbl>
      <w:tblPr>
        <w:tblOverlap w:val="never"/>
        <w:tblW w:w="0" w:type="auto"/>
        <w:tblLayout w:type="fixed"/>
        <w:tblCellMar>
          <w:left w:w="10" w:type="dxa"/>
          <w:right w:w="10" w:type="dxa"/>
        </w:tblCellMar>
        <w:tblLook w:val="0000"/>
      </w:tblPr>
      <w:tblGrid>
        <w:gridCol w:w="5706"/>
        <w:gridCol w:w="1156"/>
        <w:gridCol w:w="1372"/>
        <w:gridCol w:w="1422"/>
      </w:tblGrid>
      <w:tr w:rsidR="00B42E63" w:rsidRPr="009B507B" w:rsidTr="004378B8">
        <w:trPr>
          <w:trHeight w:val="630"/>
        </w:trPr>
        <w:tc>
          <w:tcPr>
            <w:tcW w:w="5706" w:type="dxa"/>
            <w:tcBorders>
              <w:top w:val="single" w:sz="4" w:space="0" w:color="auto"/>
              <w:left w:val="single" w:sz="4" w:space="0" w:color="auto"/>
            </w:tcBorders>
            <w:shd w:val="clear" w:color="auto" w:fill="FFFFFF"/>
            <w:vAlign w:val="bottom"/>
          </w:tcPr>
          <w:p w:rsidR="00B42E63" w:rsidRPr="009B507B" w:rsidRDefault="00B42E63" w:rsidP="009B507B">
            <w:pPr>
              <w:spacing w:line="302" w:lineRule="exact"/>
              <w:jc w:val="both"/>
              <w:rPr>
                <w:rFonts w:ascii="Times New Roman" w:hAnsi="Times New Roman" w:cs="Times New Roman"/>
              </w:rPr>
            </w:pPr>
            <w:r w:rsidRPr="009B507B">
              <w:rPr>
                <w:rStyle w:val="20"/>
                <w:rFonts w:eastAsia="Palatino Linotype"/>
                <w:sz w:val="24"/>
                <w:szCs w:val="24"/>
              </w:rPr>
              <w:t>Обеспеченность населения питьевой водой из систем централизованного водоснабжения</w:t>
            </w:r>
          </w:p>
        </w:tc>
        <w:tc>
          <w:tcPr>
            <w:tcW w:w="1156" w:type="dxa"/>
            <w:tcBorders>
              <w:top w:val="single" w:sz="4" w:space="0" w:color="auto"/>
              <w:left w:val="single" w:sz="4" w:space="0" w:color="auto"/>
            </w:tcBorders>
            <w:shd w:val="clear" w:color="auto" w:fill="FFFFFF"/>
          </w:tcPr>
          <w:p w:rsidR="00B42E63" w:rsidRPr="009B507B" w:rsidRDefault="00B42E63" w:rsidP="009B507B">
            <w:pPr>
              <w:spacing w:line="260" w:lineRule="exact"/>
              <w:jc w:val="both"/>
              <w:rPr>
                <w:rFonts w:ascii="Times New Roman" w:hAnsi="Times New Roman" w:cs="Times New Roman"/>
              </w:rPr>
            </w:pPr>
            <w:r w:rsidRPr="009B507B">
              <w:rPr>
                <w:rStyle w:val="20"/>
                <w:rFonts w:eastAsia="Palatino Linotype"/>
                <w:sz w:val="24"/>
                <w:szCs w:val="24"/>
              </w:rPr>
              <w:t>Всего</w:t>
            </w:r>
          </w:p>
        </w:tc>
        <w:tc>
          <w:tcPr>
            <w:tcW w:w="1372" w:type="dxa"/>
            <w:tcBorders>
              <w:top w:val="single" w:sz="4" w:space="0" w:color="auto"/>
              <w:left w:val="single" w:sz="4" w:space="0" w:color="auto"/>
            </w:tcBorders>
            <w:shd w:val="clear" w:color="auto" w:fill="FFFFFF"/>
            <w:vAlign w:val="bottom"/>
          </w:tcPr>
          <w:p w:rsidR="00B42E63" w:rsidRPr="009B507B" w:rsidRDefault="00B42E63" w:rsidP="009B507B">
            <w:pPr>
              <w:spacing w:line="260" w:lineRule="exact"/>
              <w:jc w:val="both"/>
              <w:rPr>
                <w:rFonts w:ascii="Times New Roman" w:hAnsi="Times New Roman" w:cs="Times New Roman"/>
              </w:rPr>
            </w:pPr>
            <w:r w:rsidRPr="009B507B">
              <w:rPr>
                <w:rStyle w:val="20"/>
                <w:rFonts w:eastAsia="Palatino Linotype"/>
                <w:sz w:val="24"/>
                <w:szCs w:val="24"/>
              </w:rPr>
              <w:t>Городское</w:t>
            </w:r>
          </w:p>
          <w:p w:rsidR="00B42E63" w:rsidRPr="009B507B" w:rsidRDefault="00B42E63" w:rsidP="009B507B">
            <w:pPr>
              <w:spacing w:line="260" w:lineRule="exact"/>
              <w:jc w:val="both"/>
              <w:rPr>
                <w:rFonts w:ascii="Times New Roman" w:hAnsi="Times New Roman" w:cs="Times New Roman"/>
              </w:rPr>
            </w:pPr>
            <w:r w:rsidRPr="009B507B">
              <w:rPr>
                <w:rStyle w:val="20"/>
                <w:rFonts w:eastAsia="Palatino Linotype"/>
                <w:sz w:val="24"/>
                <w:szCs w:val="24"/>
              </w:rPr>
              <w:t>население</w:t>
            </w:r>
          </w:p>
        </w:tc>
        <w:tc>
          <w:tcPr>
            <w:tcW w:w="1422" w:type="dxa"/>
            <w:tcBorders>
              <w:top w:val="single" w:sz="4" w:space="0" w:color="auto"/>
              <w:left w:val="single" w:sz="4" w:space="0" w:color="auto"/>
              <w:right w:val="single" w:sz="4" w:space="0" w:color="auto"/>
            </w:tcBorders>
            <w:shd w:val="clear" w:color="auto" w:fill="FFFFFF"/>
            <w:vAlign w:val="bottom"/>
          </w:tcPr>
          <w:p w:rsidR="00B42E63" w:rsidRPr="009B507B" w:rsidRDefault="00B42E63" w:rsidP="009B507B">
            <w:pPr>
              <w:spacing w:line="260" w:lineRule="exact"/>
              <w:jc w:val="both"/>
              <w:rPr>
                <w:rFonts w:ascii="Times New Roman" w:hAnsi="Times New Roman" w:cs="Times New Roman"/>
              </w:rPr>
            </w:pPr>
            <w:r w:rsidRPr="009B507B">
              <w:rPr>
                <w:rStyle w:val="20"/>
                <w:rFonts w:eastAsia="Palatino Linotype"/>
                <w:sz w:val="24"/>
                <w:szCs w:val="24"/>
              </w:rPr>
              <w:t>Сельское</w:t>
            </w:r>
          </w:p>
          <w:p w:rsidR="00B42E63" w:rsidRPr="009B507B" w:rsidRDefault="00B42E63" w:rsidP="009B507B">
            <w:pPr>
              <w:spacing w:line="260" w:lineRule="exact"/>
              <w:jc w:val="both"/>
              <w:rPr>
                <w:rFonts w:ascii="Times New Roman" w:hAnsi="Times New Roman" w:cs="Times New Roman"/>
              </w:rPr>
            </w:pPr>
            <w:r w:rsidRPr="009B507B">
              <w:rPr>
                <w:rStyle w:val="20"/>
                <w:rFonts w:eastAsia="Palatino Linotype"/>
                <w:sz w:val="24"/>
                <w:szCs w:val="24"/>
              </w:rPr>
              <w:t>население</w:t>
            </w:r>
          </w:p>
        </w:tc>
      </w:tr>
      <w:tr w:rsidR="00B42E63" w:rsidRPr="009B507B" w:rsidTr="004378B8">
        <w:trPr>
          <w:trHeight w:val="331"/>
        </w:trPr>
        <w:tc>
          <w:tcPr>
            <w:tcW w:w="5706" w:type="dxa"/>
            <w:tcBorders>
              <w:top w:val="single" w:sz="4" w:space="0" w:color="auto"/>
              <w:left w:val="single" w:sz="4" w:space="0" w:color="auto"/>
              <w:bottom w:val="single" w:sz="4" w:space="0" w:color="auto"/>
            </w:tcBorders>
            <w:shd w:val="clear" w:color="auto" w:fill="FFFFFF"/>
            <w:vAlign w:val="bottom"/>
          </w:tcPr>
          <w:p w:rsidR="00B42E63" w:rsidRPr="009B507B" w:rsidRDefault="00B42E63" w:rsidP="009B507B">
            <w:pPr>
              <w:spacing w:line="260" w:lineRule="exact"/>
              <w:jc w:val="both"/>
              <w:rPr>
                <w:rFonts w:ascii="Times New Roman" w:hAnsi="Times New Roman" w:cs="Times New Roman"/>
              </w:rPr>
            </w:pPr>
            <w:r w:rsidRPr="009B507B">
              <w:rPr>
                <w:rStyle w:val="20"/>
                <w:rFonts w:eastAsia="Palatino Linotype"/>
                <w:sz w:val="24"/>
                <w:szCs w:val="24"/>
              </w:rPr>
              <w:t>Доброкачественная питьевая вода</w:t>
            </w:r>
          </w:p>
        </w:tc>
        <w:tc>
          <w:tcPr>
            <w:tcW w:w="1156" w:type="dxa"/>
            <w:tcBorders>
              <w:top w:val="single" w:sz="4" w:space="0" w:color="auto"/>
              <w:left w:val="single" w:sz="4" w:space="0" w:color="auto"/>
              <w:bottom w:val="single" w:sz="4" w:space="0" w:color="auto"/>
            </w:tcBorders>
            <w:shd w:val="clear" w:color="auto" w:fill="FFFFFF"/>
            <w:vAlign w:val="bottom"/>
          </w:tcPr>
          <w:p w:rsidR="00B42E63" w:rsidRPr="009B507B" w:rsidRDefault="00B42E63" w:rsidP="004573EE">
            <w:pPr>
              <w:spacing w:line="260" w:lineRule="exact"/>
              <w:jc w:val="center"/>
              <w:rPr>
                <w:rFonts w:ascii="Times New Roman" w:hAnsi="Times New Roman" w:cs="Times New Roman"/>
              </w:rPr>
            </w:pPr>
            <w:r w:rsidRPr="009B507B">
              <w:rPr>
                <w:rStyle w:val="20"/>
                <w:rFonts w:eastAsia="Palatino Linotype"/>
                <w:sz w:val="24"/>
                <w:szCs w:val="24"/>
              </w:rPr>
              <w:t>41,2</w:t>
            </w:r>
          </w:p>
        </w:tc>
        <w:tc>
          <w:tcPr>
            <w:tcW w:w="1372" w:type="dxa"/>
            <w:tcBorders>
              <w:top w:val="single" w:sz="4" w:space="0" w:color="auto"/>
              <w:left w:val="single" w:sz="4" w:space="0" w:color="auto"/>
              <w:bottom w:val="single" w:sz="4" w:space="0" w:color="auto"/>
            </w:tcBorders>
            <w:shd w:val="clear" w:color="auto" w:fill="FFFFFF"/>
            <w:vAlign w:val="bottom"/>
          </w:tcPr>
          <w:p w:rsidR="00B42E63" w:rsidRPr="009B507B" w:rsidRDefault="00B42E63" w:rsidP="004573EE">
            <w:pPr>
              <w:spacing w:line="260" w:lineRule="exact"/>
              <w:jc w:val="center"/>
              <w:rPr>
                <w:rFonts w:ascii="Times New Roman" w:hAnsi="Times New Roman" w:cs="Times New Roman"/>
              </w:rPr>
            </w:pPr>
            <w:r w:rsidRPr="009B507B">
              <w:rPr>
                <w:rStyle w:val="20"/>
                <w:rFonts w:eastAsia="Palatino Linotype"/>
                <w:sz w:val="24"/>
                <w:szCs w:val="24"/>
              </w:rPr>
              <w:t>49,4</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bottom"/>
          </w:tcPr>
          <w:p w:rsidR="00B42E63" w:rsidRPr="009B507B" w:rsidRDefault="00B42E63" w:rsidP="004573EE">
            <w:pPr>
              <w:spacing w:line="260" w:lineRule="exact"/>
              <w:jc w:val="center"/>
              <w:rPr>
                <w:rFonts w:ascii="Times New Roman" w:hAnsi="Times New Roman" w:cs="Times New Roman"/>
              </w:rPr>
            </w:pPr>
            <w:r w:rsidRPr="009B507B">
              <w:rPr>
                <w:rStyle w:val="20"/>
                <w:rFonts w:eastAsia="Palatino Linotype"/>
                <w:sz w:val="24"/>
                <w:szCs w:val="24"/>
              </w:rPr>
              <w:t>46,7</w:t>
            </w:r>
          </w:p>
        </w:tc>
      </w:tr>
    </w:tbl>
    <w:p w:rsidR="00B42E63" w:rsidRDefault="00B42E63" w:rsidP="009B507B">
      <w:pPr>
        <w:spacing w:line="260" w:lineRule="exact"/>
        <w:jc w:val="both"/>
        <w:rPr>
          <w:rStyle w:val="a3"/>
          <w:rFonts w:eastAsia="Arial Unicode MS"/>
          <w:sz w:val="24"/>
          <w:szCs w:val="24"/>
        </w:rPr>
      </w:pPr>
      <w:r w:rsidRPr="009B507B">
        <w:rPr>
          <w:rStyle w:val="a3"/>
          <w:rFonts w:eastAsia="Arial Unicode MS"/>
          <w:sz w:val="24"/>
          <w:szCs w:val="24"/>
        </w:rPr>
        <w:t>*-процент населения</w:t>
      </w:r>
    </w:p>
    <w:p w:rsidR="004573EE" w:rsidRPr="009B507B" w:rsidRDefault="004573EE" w:rsidP="009B507B">
      <w:pPr>
        <w:spacing w:line="260" w:lineRule="exact"/>
        <w:jc w:val="both"/>
        <w:rPr>
          <w:rFonts w:ascii="Times New Roman" w:hAnsi="Times New Roman" w:cs="Times New Roman"/>
        </w:rPr>
      </w:pPr>
    </w:p>
    <w:p w:rsidR="00B42E63" w:rsidRPr="009B507B" w:rsidRDefault="00B42E63" w:rsidP="009B507B">
      <w:pPr>
        <w:ind w:firstLine="360"/>
        <w:jc w:val="both"/>
        <w:rPr>
          <w:rFonts w:ascii="Times New Roman" w:hAnsi="Times New Roman" w:cs="Times New Roman"/>
        </w:rPr>
      </w:pPr>
      <w:r w:rsidRPr="009B507B">
        <w:rPr>
          <w:rFonts w:ascii="Times New Roman" w:hAnsi="Times New Roman" w:cs="Times New Roman"/>
        </w:rPr>
        <w:t>С каждым годом остается высокой численность населения обеспеченного недоброкачественной питьевой водой. В основном это население сельских поселений, в которых эксплуатируются нецентрализованные источники водоснабжения (колодцы, каптажи и т.д.). На декабрь 2019 г. количество населения обеспеченного недоброкачественной питьевой водой составило около 2231 человека. (17%).</w:t>
      </w:r>
    </w:p>
    <w:p w:rsidR="00B42E63" w:rsidRPr="009B507B" w:rsidRDefault="00B42E63" w:rsidP="009B507B">
      <w:pPr>
        <w:ind w:firstLine="360"/>
        <w:jc w:val="both"/>
        <w:rPr>
          <w:rFonts w:ascii="Times New Roman" w:hAnsi="Times New Roman" w:cs="Times New Roman"/>
        </w:rPr>
      </w:pPr>
      <w:r w:rsidRPr="009B507B">
        <w:rPr>
          <w:rFonts w:ascii="Times New Roman" w:hAnsi="Times New Roman" w:cs="Times New Roman"/>
        </w:rPr>
        <w:t>Обращают на себя внимание проблемы нецентрализованного водоснабжения (колодцы). На начало 2020 года на территории района остается свыше 100 колодцев, которые не имеют балансовой принадлежности, вследствие чего не определен источник финансирования работ, связанных с поддержанием данных колодцев, в удовлетворительном санитарном состоянии, мероприятия по очистке и дезинфекции колодцев проводятся крайне редко и не регулярно, качество воды не контролируется. Отсутствие данных мероприятий может привести к непредсказуемым последствиям. Отмечается ветхое состояние большинства колодцев и, практически, отсутствие мероприятий по их санитарному содержанию.</w:t>
      </w:r>
    </w:p>
    <w:sectPr w:rsidR="00B42E63" w:rsidRPr="009B507B" w:rsidSect="003D52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B42E63"/>
    <w:rsid w:val="003D5210"/>
    <w:rsid w:val="004573EE"/>
    <w:rsid w:val="0068003B"/>
    <w:rsid w:val="00976829"/>
    <w:rsid w:val="009B507B"/>
    <w:rsid w:val="00A92C6F"/>
    <w:rsid w:val="00B42E63"/>
    <w:rsid w:val="00B46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2E63"/>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таблице"/>
    <w:basedOn w:val="a0"/>
    <w:rsid w:val="00B42E63"/>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rsid w:val="00B42E63"/>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rsid w:val="00B42E63"/>
    <w:rPr>
      <w:color w:val="000000"/>
      <w:spacing w:val="0"/>
      <w:w w:val="100"/>
      <w:position w:val="0"/>
      <w:lang w:val="ru-RU" w:eastAsia="ru-RU" w:bidi="ru-RU"/>
    </w:rPr>
  </w:style>
  <w:style w:type="character" w:customStyle="1" w:styleId="5">
    <w:name w:val="Основной текст (5)_"/>
    <w:basedOn w:val="a0"/>
    <w:rsid w:val="00B42E63"/>
    <w:rPr>
      <w:rFonts w:ascii="Verdana" w:eastAsia="Verdana" w:hAnsi="Verdana" w:cs="Verdana"/>
      <w:b w:val="0"/>
      <w:bCs w:val="0"/>
      <w:i w:val="0"/>
      <w:iCs w:val="0"/>
      <w:smallCaps w:val="0"/>
      <w:strike w:val="0"/>
      <w:sz w:val="18"/>
      <w:szCs w:val="18"/>
      <w:u w:val="none"/>
    </w:rPr>
  </w:style>
  <w:style w:type="character" w:customStyle="1" w:styleId="50">
    <w:name w:val="Основной текст (5)"/>
    <w:basedOn w:val="5"/>
    <w:rsid w:val="00B42E63"/>
    <w:rPr>
      <w:color w:val="000000"/>
      <w:spacing w:val="0"/>
      <w:w w:val="100"/>
      <w:position w:val="0"/>
      <w:lang w:val="ru-RU" w:eastAsia="ru-RU" w:bidi="ru-RU"/>
    </w:rPr>
  </w:style>
  <w:style w:type="character" w:customStyle="1" w:styleId="6">
    <w:name w:val="Основной текст (6)_"/>
    <w:basedOn w:val="a0"/>
    <w:rsid w:val="00B42E63"/>
    <w:rPr>
      <w:rFonts w:ascii="Palatino Linotype" w:eastAsia="Palatino Linotype" w:hAnsi="Palatino Linotype" w:cs="Palatino Linotype"/>
      <w:b w:val="0"/>
      <w:bCs w:val="0"/>
      <w:i w:val="0"/>
      <w:iCs w:val="0"/>
      <w:smallCaps w:val="0"/>
      <w:strike w:val="0"/>
      <w:spacing w:val="0"/>
      <w:sz w:val="23"/>
      <w:szCs w:val="23"/>
      <w:u w:val="none"/>
    </w:rPr>
  </w:style>
  <w:style w:type="character" w:customStyle="1" w:styleId="6TimesNewRoman12pt">
    <w:name w:val="Основной текст (6) + Times New Roman;12 pt;Курсив"/>
    <w:basedOn w:val="6"/>
    <w:rsid w:val="00B42E63"/>
    <w:rPr>
      <w:rFonts w:ascii="Times New Roman" w:eastAsia="Times New Roman" w:hAnsi="Times New Roman" w:cs="Times New Roman"/>
      <w:i/>
      <w:iCs/>
      <w:color w:val="000000"/>
      <w:w w:val="100"/>
      <w:position w:val="0"/>
      <w:sz w:val="24"/>
      <w:szCs w:val="24"/>
      <w:lang w:val="ru-RU" w:eastAsia="ru-RU" w:bidi="ru-RU"/>
    </w:rPr>
  </w:style>
  <w:style w:type="character" w:customStyle="1" w:styleId="60">
    <w:name w:val="Основной текст (6)"/>
    <w:basedOn w:val="6"/>
    <w:rsid w:val="00B42E63"/>
    <w:rPr>
      <w:color w:val="000000"/>
      <w:w w:val="100"/>
      <w:position w:val="0"/>
    </w:rPr>
  </w:style>
  <w:style w:type="character" w:customStyle="1" w:styleId="a4">
    <w:name w:val="Подпись к таблице_"/>
    <w:basedOn w:val="a0"/>
    <w:rsid w:val="00B42E63"/>
    <w:rPr>
      <w:rFonts w:ascii="Times New Roman" w:eastAsia="Times New Roman" w:hAnsi="Times New Roman" w:cs="Times New Roman"/>
      <w:b w:val="0"/>
      <w:bCs w:val="0"/>
      <w:i w:val="0"/>
      <w:iCs w:val="0"/>
      <w:smallCaps w:val="0"/>
      <w:strike w:val="0"/>
      <w:sz w:val="26"/>
      <w:szCs w:val="26"/>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UserZhKH</dc:creator>
  <cp:lastModifiedBy>UserZhKH</cp:lastModifiedBy>
  <cp:revision>2</cp:revision>
  <dcterms:created xsi:type="dcterms:W3CDTF">2021-02-25T05:04:00Z</dcterms:created>
  <dcterms:modified xsi:type="dcterms:W3CDTF">2021-02-25T05:04:00Z</dcterms:modified>
</cp:coreProperties>
</file>